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5760" w:firstLineChars="1600"/>
        <w:jc w:val="both"/>
        <w:rPr>
          <w:rFonts w:ascii="隶书" w:hAnsi="宋体" w:eastAsia="隶书"/>
          <w:bCs/>
          <w:color w:val="000000"/>
          <w:sz w:val="36"/>
          <w:szCs w:val="36"/>
        </w:rPr>
      </w:pPr>
      <w:r>
        <w:rPr>
          <w:rFonts w:hint="eastAsia" w:ascii="隶书" w:hAnsi="宋体" w:eastAsia="隶书"/>
          <w:bCs/>
          <w:color w:val="000000"/>
          <w:sz w:val="36"/>
          <w:szCs w:val="36"/>
        </w:rPr>
        <w:t>管理体系审核记录表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1164"/>
        <w:gridCol w:w="11012"/>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56" w:type="dxa"/>
            <w:vMerge w:val="restart"/>
            <w:vAlign w:val="center"/>
          </w:tcPr>
          <w:p>
            <w:pPr>
              <w:spacing w:before="120"/>
              <w:jc w:val="center"/>
              <w:rPr>
                <w:color w:val="000000" w:themeColor="text1"/>
                <w:sz w:val="24"/>
                <w:szCs w:val="24"/>
              </w:rPr>
            </w:pPr>
            <w:r>
              <w:rPr>
                <w:rFonts w:hint="eastAsia"/>
                <w:color w:val="000000" w:themeColor="text1"/>
                <w:sz w:val="24"/>
                <w:szCs w:val="24"/>
              </w:rPr>
              <w:t>过程与活动、</w:t>
            </w:r>
          </w:p>
          <w:p>
            <w:pPr>
              <w:jc w:val="center"/>
              <w:rPr>
                <w:color w:val="000000" w:themeColor="text1"/>
              </w:rPr>
            </w:pPr>
            <w:r>
              <w:rPr>
                <w:rFonts w:hint="eastAsia"/>
                <w:color w:val="000000" w:themeColor="text1"/>
                <w:sz w:val="24"/>
                <w:szCs w:val="24"/>
              </w:rPr>
              <w:t>抽样计划</w:t>
            </w:r>
          </w:p>
        </w:tc>
        <w:tc>
          <w:tcPr>
            <w:tcW w:w="1164" w:type="dxa"/>
            <w:vMerge w:val="restart"/>
            <w:vAlign w:val="center"/>
          </w:tcPr>
          <w:p>
            <w:pPr>
              <w:rPr>
                <w:color w:val="000000" w:themeColor="text1"/>
                <w:sz w:val="24"/>
                <w:szCs w:val="24"/>
              </w:rPr>
            </w:pPr>
            <w:r>
              <w:rPr>
                <w:rFonts w:hint="eastAsia"/>
                <w:color w:val="000000" w:themeColor="text1"/>
                <w:sz w:val="24"/>
                <w:szCs w:val="24"/>
              </w:rPr>
              <w:t>涉及</w:t>
            </w:r>
          </w:p>
          <w:p>
            <w:pPr>
              <w:rPr>
                <w:color w:val="000000" w:themeColor="text1"/>
              </w:rPr>
            </w:pPr>
            <w:r>
              <w:rPr>
                <w:rFonts w:hint="eastAsia"/>
                <w:color w:val="000000" w:themeColor="text1"/>
                <w:sz w:val="24"/>
                <w:szCs w:val="24"/>
              </w:rPr>
              <w:t>条款</w:t>
            </w:r>
          </w:p>
        </w:tc>
        <w:tc>
          <w:tcPr>
            <w:tcW w:w="11012" w:type="dxa"/>
            <w:vAlign w:val="center"/>
          </w:tcPr>
          <w:p>
            <w:pPr>
              <w:spacing w:line="360" w:lineRule="auto"/>
              <w:rPr>
                <w:rFonts w:hint="default" w:ascii="宋体" w:hAnsi="宋体" w:eastAsia="宋体" w:cs="宋体"/>
                <w:szCs w:val="21"/>
                <w:lang w:val="en-US" w:eastAsia="zh-CN"/>
              </w:rPr>
            </w:pPr>
            <w:r>
              <w:rPr>
                <w:rFonts w:ascii="宋体" w:hAnsi="宋体" w:cs="宋体"/>
                <w:szCs w:val="21"/>
              </w:rPr>
              <w:t>受审核部门：</w:t>
            </w:r>
            <w:r>
              <w:rPr>
                <w:rFonts w:hint="eastAsia" w:ascii="宋体" w:hAnsi="宋体" w:cs="宋体"/>
                <w:szCs w:val="21"/>
                <w:lang w:eastAsia="zh-CN"/>
              </w:rPr>
              <w:t>行政部（</w:t>
            </w:r>
            <w:r>
              <w:rPr>
                <w:rFonts w:hint="eastAsia" w:ascii="宋体" w:hAnsi="宋体" w:cs="宋体"/>
                <w:szCs w:val="21"/>
                <w:lang w:val="en-US" w:eastAsia="zh-CN"/>
              </w:rPr>
              <w:t>含</w:t>
            </w:r>
            <w:r>
              <w:rPr>
                <w:rFonts w:hint="eastAsia" w:ascii="宋体" w:hAnsi="宋体" w:cs="宋体"/>
                <w:szCs w:val="21"/>
                <w:lang w:eastAsia="zh-CN"/>
              </w:rPr>
              <w:t>财</w:t>
            </w:r>
            <w:r>
              <w:rPr>
                <w:rFonts w:hint="eastAsia" w:ascii="宋体" w:hAnsi="宋体" w:cs="宋体"/>
                <w:szCs w:val="21"/>
                <w:lang w:val="en-US" w:eastAsia="zh-CN"/>
              </w:rPr>
              <w:t>务</w:t>
            </w:r>
            <w:r>
              <w:rPr>
                <w:rFonts w:hint="eastAsia" w:ascii="宋体" w:hAnsi="宋体" w:cs="宋体"/>
                <w:szCs w:val="21"/>
                <w:lang w:eastAsia="zh-CN"/>
              </w:rPr>
              <w:t>）</w:t>
            </w:r>
            <w:r>
              <w:rPr>
                <w:rFonts w:ascii="宋体" w:hAnsi="宋体" w:cs="宋体"/>
                <w:szCs w:val="21"/>
              </w:rPr>
              <w:t xml:space="preserve">   </w:t>
            </w:r>
            <w:r>
              <w:rPr>
                <w:rFonts w:hint="eastAsia" w:ascii="宋体" w:hAnsi="宋体" w:cs="宋体"/>
                <w:szCs w:val="21"/>
                <w:lang w:val="en-US" w:eastAsia="zh-CN"/>
              </w:rPr>
              <w:t xml:space="preserve">   </w:t>
            </w:r>
            <w:r>
              <w:rPr>
                <w:rFonts w:ascii="宋体" w:hAnsi="宋体" w:cs="宋体"/>
                <w:szCs w:val="21"/>
              </w:rPr>
              <w:t xml:space="preserve">  主管领导：</w:t>
            </w:r>
            <w:r>
              <w:rPr>
                <w:rFonts w:hint="eastAsia" w:ascii="宋体" w:hAnsi="宋体" w:cs="宋体"/>
                <w:szCs w:val="21"/>
                <w:lang w:val="en-US" w:eastAsia="zh-CN"/>
              </w:rPr>
              <w:t>罗锦霞</w:t>
            </w:r>
            <w:r>
              <w:rPr>
                <w:rFonts w:ascii="宋体" w:hAnsi="宋体" w:cs="宋体"/>
                <w:szCs w:val="21"/>
              </w:rPr>
              <w:t xml:space="preserve">  </w:t>
            </w:r>
            <w:r>
              <w:rPr>
                <w:rFonts w:hint="eastAsia" w:ascii="宋体" w:hAnsi="宋体" w:cs="宋体"/>
                <w:szCs w:val="21"/>
                <w:lang w:val="en-US" w:eastAsia="zh-CN"/>
              </w:rPr>
              <w:t xml:space="preserve">   </w:t>
            </w:r>
            <w:r>
              <w:rPr>
                <w:rFonts w:ascii="宋体" w:hAnsi="宋体" w:cs="宋体"/>
                <w:szCs w:val="21"/>
              </w:rPr>
              <w:t xml:space="preserve"> 陪同人员：</w:t>
            </w:r>
          </w:p>
        </w:tc>
        <w:tc>
          <w:tcPr>
            <w:tcW w:w="577" w:type="dxa"/>
            <w:vMerge w:val="restart"/>
            <w:vAlign w:val="center"/>
          </w:tcPr>
          <w:p>
            <w:pPr>
              <w:rPr>
                <w:color w:val="000000" w:themeColor="text1"/>
                <w:sz w:val="24"/>
                <w:szCs w:val="24"/>
              </w:rPr>
            </w:pPr>
            <w:r>
              <w:rPr>
                <w:rFonts w:hint="eastAsia"/>
                <w:color w:val="000000" w:themeColor="text1"/>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956" w:type="dxa"/>
            <w:vMerge w:val="continue"/>
            <w:vAlign w:val="center"/>
          </w:tcPr>
          <w:p>
            <w:pPr>
              <w:rPr>
                <w:color w:val="000000" w:themeColor="text1"/>
              </w:rPr>
            </w:pPr>
          </w:p>
        </w:tc>
        <w:tc>
          <w:tcPr>
            <w:tcW w:w="1164" w:type="dxa"/>
            <w:vMerge w:val="continue"/>
            <w:vAlign w:val="center"/>
          </w:tcPr>
          <w:p>
            <w:pPr>
              <w:rPr>
                <w:color w:val="000000" w:themeColor="text1"/>
              </w:rPr>
            </w:pPr>
          </w:p>
        </w:tc>
        <w:tc>
          <w:tcPr>
            <w:tcW w:w="11012" w:type="dxa"/>
            <w:vAlign w:val="center"/>
          </w:tcPr>
          <w:p>
            <w:pPr>
              <w:spacing w:line="360" w:lineRule="auto"/>
              <w:rPr>
                <w:rFonts w:ascii="宋体" w:hAnsi="宋体" w:cs="宋体"/>
                <w:szCs w:val="21"/>
              </w:rPr>
            </w:pPr>
            <w:r>
              <w:rPr>
                <w:rFonts w:hint="eastAsia" w:ascii="宋体" w:hAnsi="宋体" w:cs="宋体"/>
                <w:szCs w:val="21"/>
              </w:rPr>
              <w:t>审核员：李俐</w:t>
            </w:r>
            <w:r>
              <w:rPr>
                <w:rFonts w:hint="eastAsia" w:ascii="宋体" w:hAnsi="宋体" w:cs="宋体"/>
                <w:szCs w:val="21"/>
                <w:lang w:eastAsia="zh-CN"/>
              </w:rPr>
              <w:t>、</w:t>
            </w:r>
            <w:r>
              <w:rPr>
                <w:rFonts w:hint="eastAsia" w:ascii="宋体" w:hAnsi="宋体" w:cs="宋体"/>
                <w:szCs w:val="21"/>
                <w:lang w:val="en-US" w:eastAsia="zh-CN"/>
              </w:rPr>
              <w:t>强兴</w:t>
            </w:r>
            <w:r>
              <w:rPr>
                <w:rFonts w:hint="eastAsia" w:ascii="宋体" w:hAnsi="宋体" w:cs="宋体"/>
                <w:szCs w:val="21"/>
              </w:rPr>
              <w:t xml:space="preserve">   审核时间：20</w:t>
            </w:r>
            <w:r>
              <w:rPr>
                <w:rFonts w:hint="eastAsia" w:ascii="宋体" w:hAnsi="宋体" w:cs="宋体"/>
                <w:szCs w:val="21"/>
                <w:lang w:val="en-US" w:eastAsia="zh-CN"/>
              </w:rPr>
              <w:t>20</w:t>
            </w:r>
            <w:r>
              <w:rPr>
                <w:rFonts w:hint="eastAsia" w:ascii="宋体" w:hAnsi="宋体" w:cs="宋体"/>
                <w:szCs w:val="21"/>
              </w:rPr>
              <w:t>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11</w:t>
            </w:r>
            <w:r>
              <w:rPr>
                <w:rFonts w:hint="eastAsia" w:ascii="宋体" w:hAnsi="宋体" w:cs="宋体"/>
                <w:szCs w:val="21"/>
              </w:rPr>
              <w:t>日</w:t>
            </w:r>
          </w:p>
        </w:tc>
        <w:tc>
          <w:tcPr>
            <w:tcW w:w="577" w:type="dxa"/>
            <w:vMerge w:val="continue"/>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56" w:type="dxa"/>
            <w:vMerge w:val="continue"/>
            <w:vAlign w:val="center"/>
          </w:tcPr>
          <w:p>
            <w:pPr>
              <w:rPr>
                <w:color w:val="000000" w:themeColor="text1"/>
              </w:rPr>
            </w:pPr>
          </w:p>
        </w:tc>
        <w:tc>
          <w:tcPr>
            <w:tcW w:w="1164" w:type="dxa"/>
            <w:vMerge w:val="continue"/>
            <w:vAlign w:val="center"/>
          </w:tcPr>
          <w:p>
            <w:pPr>
              <w:rPr>
                <w:color w:val="000000" w:themeColor="text1"/>
              </w:rPr>
            </w:pPr>
          </w:p>
        </w:tc>
        <w:tc>
          <w:tcPr>
            <w:tcW w:w="11012" w:type="dxa"/>
            <w:vAlign w:val="center"/>
          </w:tcPr>
          <w:p>
            <w:pPr>
              <w:snapToGrid w:val="0"/>
              <w:spacing w:line="360" w:lineRule="auto"/>
            </w:pPr>
            <w:r>
              <w:rPr>
                <w:rFonts w:hint="eastAsia"/>
              </w:rPr>
              <w:t>审核条款：</w:t>
            </w:r>
          </w:p>
          <w:p>
            <w:pPr>
              <w:snapToGrid w:val="0"/>
              <w:spacing w:line="360" w:lineRule="auto"/>
              <w:rPr>
                <w:rFonts w:hint="default" w:ascii="宋体" w:hAnsi="宋体" w:eastAsia="宋体" w:cs="新宋体"/>
                <w:szCs w:val="21"/>
                <w:lang w:val="en-US" w:eastAsia="zh-CN"/>
              </w:rPr>
            </w:pPr>
            <w:r>
              <w:rPr>
                <w:rFonts w:hint="eastAsia" w:ascii="宋体" w:hAnsi="宋体" w:cs="新宋体"/>
                <w:szCs w:val="21"/>
              </w:rPr>
              <w:t>Q：5.3；6.2；</w:t>
            </w:r>
            <w:r>
              <w:rPr>
                <w:rFonts w:hint="eastAsia" w:ascii="宋体" w:hAnsi="宋体" w:cs="新宋体"/>
                <w:szCs w:val="21"/>
                <w:lang w:val="en-US" w:eastAsia="zh-CN"/>
              </w:rPr>
              <w:t>9.1.1；9.1.3；10.2</w:t>
            </w:r>
          </w:p>
          <w:p>
            <w:pPr>
              <w:snapToGrid w:val="0"/>
              <w:spacing w:line="360" w:lineRule="auto"/>
              <w:rPr>
                <w:rFonts w:hint="eastAsia" w:ascii="宋体" w:hAnsi="宋体" w:cs="新宋体"/>
                <w:szCs w:val="21"/>
              </w:rPr>
            </w:pPr>
            <w:r>
              <w:rPr>
                <w:rFonts w:hint="eastAsia" w:ascii="宋体" w:hAnsi="宋体" w:cs="新宋体"/>
                <w:szCs w:val="21"/>
              </w:rPr>
              <w:t>E：5.3；</w:t>
            </w:r>
            <w:r>
              <w:rPr>
                <w:rFonts w:hint="eastAsia" w:ascii="宋体" w:hAnsi="宋体" w:cs="新宋体"/>
                <w:szCs w:val="21"/>
                <w:lang w:val="en-US" w:eastAsia="zh-CN"/>
              </w:rPr>
              <w:t>6.2；</w:t>
            </w:r>
            <w:r>
              <w:rPr>
                <w:rFonts w:hint="eastAsia" w:ascii="宋体" w:hAnsi="宋体" w:cs="新宋体"/>
                <w:szCs w:val="21"/>
              </w:rPr>
              <w:t>6.1.2；6.1.3；</w:t>
            </w:r>
            <w:r>
              <w:rPr>
                <w:rFonts w:hint="eastAsia" w:ascii="宋体" w:hAnsi="宋体" w:cs="新宋体"/>
                <w:szCs w:val="21"/>
                <w:lang w:val="en-US" w:eastAsia="zh-CN"/>
              </w:rPr>
              <w:t>10.2</w:t>
            </w:r>
          </w:p>
          <w:p>
            <w:pPr>
              <w:snapToGrid w:val="0"/>
              <w:spacing w:line="360" w:lineRule="auto"/>
              <w:rPr>
                <w:rFonts w:hint="eastAsia" w:ascii="宋体" w:hAnsi="宋体" w:cs="新宋体"/>
                <w:szCs w:val="21"/>
              </w:rPr>
            </w:pPr>
            <w:r>
              <w:rPr>
                <w:rFonts w:hint="eastAsia" w:ascii="宋体" w:hAnsi="宋体" w:cs="新宋体"/>
                <w:szCs w:val="21"/>
              </w:rPr>
              <w:t>O：5.3；</w:t>
            </w:r>
            <w:r>
              <w:rPr>
                <w:rFonts w:hint="eastAsia" w:ascii="宋体" w:hAnsi="宋体" w:cs="新宋体"/>
                <w:szCs w:val="21"/>
                <w:lang w:val="en-US" w:eastAsia="zh-CN"/>
              </w:rPr>
              <w:t>6.2；6.1.2；6.1.3；6.1.4；</w:t>
            </w:r>
            <w:r>
              <w:rPr>
                <w:rFonts w:hint="eastAsia" w:ascii="宋体" w:hAnsi="宋体" w:cs="新宋体"/>
                <w:szCs w:val="21"/>
              </w:rPr>
              <w:t>7.2；7.3；7.4；7.5；</w:t>
            </w:r>
            <w:r>
              <w:rPr>
                <w:rFonts w:hint="eastAsia" w:ascii="宋体" w:hAnsi="宋体" w:cs="新宋体"/>
                <w:szCs w:val="21"/>
                <w:lang w:val="en-US" w:eastAsia="zh-CN"/>
              </w:rPr>
              <w:t>8.1；</w:t>
            </w:r>
            <w:r>
              <w:rPr>
                <w:rFonts w:hint="eastAsia" w:ascii="宋体" w:hAnsi="宋体" w:cs="新宋体"/>
                <w:szCs w:val="21"/>
              </w:rPr>
              <w:t>8.2；9.1；9.2；10.2；</w:t>
            </w:r>
          </w:p>
          <w:p>
            <w:pPr>
              <w:snapToGrid w:val="0"/>
              <w:spacing w:line="360" w:lineRule="auto"/>
              <w:rPr>
                <w:rFonts w:hint="eastAsia" w:ascii="宋体" w:hAnsi="宋体" w:cs="新宋体"/>
                <w:szCs w:val="21"/>
              </w:rPr>
            </w:pPr>
            <w:r>
              <w:rPr>
                <w:rFonts w:hint="eastAsia" w:ascii="宋体" w:hAnsi="宋体" w:cs="新宋体"/>
                <w:szCs w:val="21"/>
              </w:rPr>
              <w:t>EMS</w:t>
            </w:r>
            <w:r>
              <w:rPr>
                <w:rFonts w:hint="eastAsia" w:ascii="宋体" w:hAnsi="宋体" w:cs="新宋体"/>
                <w:szCs w:val="21"/>
                <w:lang w:eastAsia="zh-CN"/>
              </w:rPr>
              <w:t>、</w:t>
            </w:r>
            <w:r>
              <w:rPr>
                <w:rFonts w:hint="eastAsia" w:ascii="宋体" w:hAnsi="宋体" w:cs="新宋体"/>
                <w:szCs w:val="21"/>
              </w:rPr>
              <w:t>OHSMS运行控制相关财务支出证据</w:t>
            </w:r>
          </w:p>
        </w:tc>
        <w:tc>
          <w:tcPr>
            <w:tcW w:w="577" w:type="dxa"/>
            <w:vMerge w:val="continue"/>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56" w:type="dxa"/>
            <w:vAlign w:val="center"/>
          </w:tcPr>
          <w:p>
            <w:pPr>
              <w:spacing w:line="360" w:lineRule="auto"/>
              <w:rPr>
                <w:color w:val="000000" w:themeColor="text1"/>
              </w:rPr>
            </w:pPr>
            <w:r>
              <w:rPr>
                <w:rFonts w:hint="eastAsia" w:ascii="宋体" w:hAnsi="宋体" w:cs="Arial"/>
                <w:szCs w:val="21"/>
              </w:rPr>
              <w:t>组织的岗位、职责和权限</w:t>
            </w:r>
          </w:p>
        </w:tc>
        <w:tc>
          <w:tcPr>
            <w:tcW w:w="1164" w:type="dxa"/>
          </w:tcPr>
          <w:p>
            <w:pPr>
              <w:spacing w:line="360" w:lineRule="auto"/>
              <w:rPr>
                <w:rFonts w:ascii="宋体" w:hAnsi="宋体" w:cs="Arial"/>
                <w:szCs w:val="21"/>
              </w:rPr>
            </w:pPr>
          </w:p>
          <w:p>
            <w:pPr>
              <w:spacing w:line="360" w:lineRule="auto"/>
              <w:rPr>
                <w:rFonts w:ascii="宋体" w:hAnsi="宋体" w:cs="Arial"/>
                <w:szCs w:val="21"/>
              </w:rPr>
            </w:pPr>
          </w:p>
          <w:p>
            <w:pPr>
              <w:spacing w:line="360" w:lineRule="auto"/>
              <w:rPr>
                <w:rFonts w:ascii="宋体" w:hAnsi="宋体" w:cs="Arial"/>
                <w:szCs w:val="21"/>
              </w:rPr>
            </w:pPr>
          </w:p>
          <w:p>
            <w:pPr>
              <w:spacing w:line="360" w:lineRule="auto"/>
              <w:rPr>
                <w:rFonts w:ascii="宋体" w:hAnsi="宋体" w:cs="Arial"/>
                <w:szCs w:val="21"/>
              </w:rPr>
            </w:pPr>
          </w:p>
          <w:p>
            <w:pPr>
              <w:spacing w:line="360" w:lineRule="auto"/>
              <w:rPr>
                <w:rFonts w:ascii="宋体" w:hAnsi="宋体" w:cs="Arial"/>
                <w:szCs w:val="21"/>
              </w:rPr>
            </w:pPr>
          </w:p>
          <w:p>
            <w:pPr>
              <w:spacing w:line="360" w:lineRule="auto"/>
              <w:rPr>
                <w:color w:val="000000" w:themeColor="text1"/>
              </w:rPr>
            </w:pPr>
            <w:r>
              <w:rPr>
                <w:rFonts w:hint="eastAsia" w:ascii="宋体" w:hAnsi="宋体" w:cs="Arial"/>
                <w:szCs w:val="21"/>
              </w:rPr>
              <w:t>QEO：5.3</w:t>
            </w:r>
          </w:p>
        </w:tc>
        <w:tc>
          <w:tcPr>
            <w:tcW w:w="11012" w:type="dxa"/>
            <w:vAlign w:val="center"/>
          </w:tcPr>
          <w:p>
            <w:pPr>
              <w:snapToGrid w:val="0"/>
              <w:spacing w:line="360" w:lineRule="auto"/>
              <w:rPr>
                <w:rFonts w:ascii="宋体" w:hAnsi="宋体" w:cs="新宋体"/>
                <w:szCs w:val="21"/>
              </w:rPr>
            </w:pPr>
            <w:r>
              <w:rPr>
                <w:rFonts w:hint="eastAsia" w:ascii="宋体" w:hAnsi="宋体" w:cs="新宋体"/>
                <w:szCs w:val="21"/>
              </w:rPr>
              <w:t>部门负责人：</w:t>
            </w:r>
            <w:r>
              <w:rPr>
                <w:rFonts w:hint="eastAsia" w:ascii="宋体" w:hAnsi="宋体" w:cs="宋体"/>
                <w:szCs w:val="21"/>
                <w:lang w:val="en-US" w:eastAsia="zh-CN"/>
              </w:rPr>
              <w:t>罗锦霞</w:t>
            </w:r>
            <w:r>
              <w:rPr>
                <w:rFonts w:ascii="宋体" w:hAnsi="宋体" w:cs="宋体"/>
                <w:szCs w:val="21"/>
              </w:rPr>
              <w:t xml:space="preserve"> </w:t>
            </w:r>
            <w:r>
              <w:rPr>
                <w:rFonts w:ascii="宋体" w:hAnsi="宋体" w:cs="新宋体"/>
                <w:szCs w:val="21"/>
              </w:rPr>
              <w:t xml:space="preserve">  </w:t>
            </w:r>
          </w:p>
          <w:p>
            <w:pPr>
              <w:snapToGrid w:val="0"/>
              <w:spacing w:line="360" w:lineRule="auto"/>
              <w:rPr>
                <w:rFonts w:hint="eastAsia" w:ascii="宋体" w:hAnsi="宋体" w:cs="新宋体"/>
                <w:szCs w:val="21"/>
              </w:rPr>
            </w:pPr>
            <w:r>
              <w:rPr>
                <w:rFonts w:hint="eastAsia" w:ascii="宋体" w:hAnsi="宋体" w:cs="新宋体"/>
                <w:szCs w:val="21"/>
              </w:rPr>
              <w:t>询问主要职责：</w:t>
            </w:r>
          </w:p>
          <w:p>
            <w:pPr>
              <w:ind w:left="420" w:leftChars="200"/>
              <w:rPr>
                <w:rFonts w:hint="eastAsia" w:eastAsia="宋体"/>
                <w:szCs w:val="21"/>
                <w:lang w:eastAsia="zh-CN"/>
              </w:rPr>
            </w:pPr>
            <w:r>
              <w:rPr>
                <w:rFonts w:hint="eastAsia"/>
                <w:szCs w:val="21"/>
                <w:lang w:eastAsia="zh-CN"/>
              </w:rPr>
              <w:t>行政人事部</w:t>
            </w:r>
          </w:p>
          <w:p>
            <w:pPr>
              <w:ind w:left="420" w:leftChars="200"/>
              <w:rPr>
                <w:rFonts w:hint="eastAsia"/>
                <w:szCs w:val="21"/>
              </w:rPr>
            </w:pPr>
            <w:r>
              <w:rPr>
                <w:rFonts w:hint="eastAsia"/>
                <w:szCs w:val="21"/>
              </w:rPr>
              <w:t>◆组织有关部门起草、修订质量环境职业健康安全体系文件，负责文件管理，包括发放、回收、归档、更改、保存、销毁并做好相关记录；</w:t>
            </w:r>
          </w:p>
          <w:p>
            <w:pPr>
              <w:ind w:left="420" w:leftChars="200"/>
              <w:rPr>
                <w:rFonts w:hint="eastAsia"/>
                <w:szCs w:val="21"/>
              </w:rPr>
            </w:pPr>
            <w:r>
              <w:rPr>
                <w:rFonts w:hint="eastAsia"/>
                <w:szCs w:val="21"/>
              </w:rPr>
              <w:t>◆负责记录的管理并规定记录保存期限，并保存所有体系文件和记录表单电子档备，组织对现有体系文件定期评审，必要时进行更新；</w:t>
            </w:r>
          </w:p>
          <w:p>
            <w:pPr>
              <w:ind w:left="420" w:leftChars="200"/>
              <w:rPr>
                <w:rFonts w:hint="eastAsia"/>
                <w:szCs w:val="21"/>
              </w:rPr>
            </w:pPr>
            <w:r>
              <w:rPr>
                <w:rFonts w:hint="eastAsia"/>
                <w:szCs w:val="21"/>
              </w:rPr>
              <w:t>◆负责向相关员工进行质量、安全、环保等方面的培训教育，提高员工的质量、环保和安全意识；</w:t>
            </w:r>
          </w:p>
          <w:p>
            <w:pPr>
              <w:ind w:left="420" w:leftChars="200"/>
              <w:rPr>
                <w:rFonts w:hint="eastAsia"/>
                <w:szCs w:val="21"/>
              </w:rPr>
            </w:pPr>
            <w:r>
              <w:rPr>
                <w:rFonts w:hint="eastAsia"/>
                <w:szCs w:val="21"/>
              </w:rPr>
              <w:t>◆负责政府、行政主管部门的联络及公司内部沟通。对供方等相关方的环境、安全行为施加影响；</w:t>
            </w:r>
          </w:p>
          <w:p>
            <w:pPr>
              <w:ind w:left="420" w:leftChars="200"/>
              <w:rPr>
                <w:rFonts w:hint="eastAsia"/>
                <w:szCs w:val="21"/>
              </w:rPr>
            </w:pPr>
            <w:r>
              <w:rPr>
                <w:rFonts w:hint="eastAsia"/>
                <w:szCs w:val="21"/>
              </w:rPr>
              <w:t>◆负责对各部门的环境因素和危险源进行辨识、风险评价和控制措施的归口管理，提出职业健康安全方案并实施；</w:t>
            </w:r>
          </w:p>
          <w:p>
            <w:pPr>
              <w:ind w:left="420" w:leftChars="200"/>
              <w:rPr>
                <w:rFonts w:hint="eastAsia"/>
                <w:szCs w:val="21"/>
              </w:rPr>
            </w:pPr>
            <w:r>
              <w:rPr>
                <w:rFonts w:hint="eastAsia"/>
                <w:szCs w:val="21"/>
              </w:rPr>
              <w:t>◆负责第二方或第三方关于管理体系类的外部审查的策划、组织准备、接待，组织对外部审查所提出的问题整改和改进建议的沟通、实施和结果回复，综合外部审查的各项改进建议，结合公司的实际管理水平，持续改善公司的综合管理水平；</w:t>
            </w:r>
          </w:p>
          <w:p>
            <w:pPr>
              <w:ind w:left="420" w:leftChars="200"/>
              <w:rPr>
                <w:rFonts w:hint="eastAsia"/>
                <w:szCs w:val="21"/>
              </w:rPr>
            </w:pPr>
            <w:r>
              <w:rPr>
                <w:rFonts w:hint="eastAsia"/>
                <w:szCs w:val="21"/>
              </w:rPr>
              <w:t>◆负责管理评审、内部审核的组织落实，并保存管理评审和内部审核资料；</w:t>
            </w:r>
          </w:p>
          <w:p>
            <w:pPr>
              <w:ind w:left="420" w:leftChars="200"/>
              <w:rPr>
                <w:rFonts w:hint="eastAsia"/>
                <w:szCs w:val="21"/>
              </w:rPr>
            </w:pPr>
            <w:r>
              <w:rPr>
                <w:rFonts w:hint="eastAsia"/>
                <w:szCs w:val="21"/>
              </w:rPr>
              <w:t>◆制订公司各级员工劳保、后勤卫生等方面的实施方案；</w:t>
            </w:r>
          </w:p>
          <w:p>
            <w:pPr>
              <w:ind w:left="420" w:leftChars="200"/>
              <w:rPr>
                <w:rFonts w:hint="eastAsia"/>
                <w:szCs w:val="21"/>
              </w:rPr>
            </w:pPr>
            <w:r>
              <w:rPr>
                <w:rFonts w:hint="eastAsia"/>
                <w:szCs w:val="21"/>
              </w:rPr>
              <w:t>◆负责组织员工开展遵章守纪和预防事故的群众性活动。关心员工职业健康安全条件的改善，加强女职工和未成年工的保护；</w:t>
            </w:r>
          </w:p>
          <w:p>
            <w:pPr>
              <w:ind w:left="420" w:leftChars="200"/>
              <w:rPr>
                <w:rFonts w:hint="eastAsia"/>
                <w:szCs w:val="21"/>
              </w:rPr>
            </w:pPr>
            <w:r>
              <w:rPr>
                <w:rFonts w:hint="eastAsia"/>
                <w:szCs w:val="21"/>
              </w:rPr>
              <w:t>◆负责本部门环境、职业健康安全管理工作；</w:t>
            </w:r>
          </w:p>
          <w:p>
            <w:pPr>
              <w:ind w:left="420" w:leftChars="200"/>
              <w:rPr>
                <w:rFonts w:hint="eastAsia"/>
                <w:szCs w:val="21"/>
              </w:rPr>
            </w:pPr>
            <w:r>
              <w:rPr>
                <w:rFonts w:hint="eastAsia"/>
                <w:szCs w:val="21"/>
              </w:rPr>
              <w:t>◆负责环境、职业健康的不符合评定，参与不合格</w:t>
            </w:r>
            <w:r>
              <w:rPr>
                <w:rFonts w:hint="eastAsia"/>
                <w:szCs w:val="21"/>
                <w:lang w:val="en-US" w:eastAsia="zh-CN"/>
              </w:rPr>
              <w:t>服务</w:t>
            </w:r>
            <w:r>
              <w:rPr>
                <w:rFonts w:hint="eastAsia"/>
                <w:szCs w:val="21"/>
              </w:rPr>
              <w:t>的判定，组织相应部门制订相应的纠正预防和预防措施，并进行跟踪和验证；</w:t>
            </w:r>
          </w:p>
          <w:p>
            <w:pPr>
              <w:ind w:left="420" w:leftChars="200"/>
              <w:rPr>
                <w:rFonts w:hint="eastAsia"/>
                <w:szCs w:val="21"/>
              </w:rPr>
            </w:pPr>
            <w:r>
              <w:rPr>
                <w:rFonts w:hint="eastAsia"/>
                <w:szCs w:val="21"/>
              </w:rPr>
              <w:t>◆负责质量、环境和职业健康安全法律、法规的合规性评价；</w:t>
            </w:r>
          </w:p>
          <w:p>
            <w:pPr>
              <w:ind w:left="420" w:leftChars="200"/>
              <w:rPr>
                <w:rFonts w:hint="eastAsia"/>
                <w:szCs w:val="21"/>
                <w:lang w:val="en-US" w:eastAsia="zh-CN"/>
              </w:rPr>
            </w:pPr>
            <w:r>
              <w:rPr>
                <w:rFonts w:hint="eastAsia"/>
                <w:szCs w:val="21"/>
              </w:rPr>
              <w:t>◆</w:t>
            </w:r>
            <w:r>
              <w:rPr>
                <w:rFonts w:hint="eastAsia"/>
                <w:szCs w:val="21"/>
                <w:lang w:val="en-US" w:eastAsia="zh-CN"/>
              </w:rPr>
              <w:t>负责公司的环境、职业健康安全资金投入，劳保、环境设备、职业健康安全设备购买的策划；</w:t>
            </w:r>
          </w:p>
          <w:p>
            <w:pPr>
              <w:ind w:left="420" w:leftChars="200" w:firstLine="18" w:firstLineChars="9"/>
              <w:rPr>
                <w:rFonts w:hint="eastAsia"/>
                <w:szCs w:val="21"/>
              </w:rPr>
            </w:pPr>
            <w:r>
              <w:rPr>
                <w:rFonts w:hint="eastAsia"/>
                <w:szCs w:val="21"/>
              </w:rPr>
              <w:t>◆负责公司应急准备和响应的策划、定期演练，协助管代对紧急情况统一指挥；</w:t>
            </w:r>
          </w:p>
          <w:p>
            <w:pPr>
              <w:ind w:left="420" w:leftChars="200" w:firstLine="18" w:firstLineChars="9"/>
              <w:rPr>
                <w:rFonts w:hint="eastAsia"/>
                <w:szCs w:val="21"/>
              </w:rPr>
            </w:pPr>
            <w:r>
              <w:rPr>
                <w:rFonts w:hint="eastAsia"/>
                <w:szCs w:val="21"/>
              </w:rPr>
              <w:t>◆按规定对本部门的管理目标完成进行分析评价，改进和提高，确保年度目标达成。</w:t>
            </w:r>
          </w:p>
          <w:p>
            <w:pPr>
              <w:ind w:left="420" w:leftChars="200" w:firstLine="18" w:firstLineChars="9"/>
              <w:rPr>
                <w:rFonts w:hint="eastAsia"/>
                <w:szCs w:val="21"/>
                <w:lang w:val="en-US" w:eastAsia="zh-CN"/>
              </w:rPr>
            </w:pPr>
            <w:r>
              <w:rPr>
                <w:rFonts w:hint="eastAsia"/>
                <w:szCs w:val="21"/>
                <w:lang w:val="en-US" w:eastAsia="zh-CN"/>
              </w:rPr>
              <w:t>财务</w:t>
            </w:r>
          </w:p>
          <w:p>
            <w:pPr>
              <w:ind w:left="420" w:leftChars="200" w:firstLine="105" w:firstLineChars="50"/>
              <w:rPr>
                <w:rFonts w:hint="eastAsia"/>
                <w:szCs w:val="21"/>
              </w:rPr>
            </w:pPr>
            <w:r>
              <w:rPr>
                <w:rFonts w:hint="eastAsia"/>
                <w:szCs w:val="21"/>
              </w:rPr>
              <w:t>◆负责公司财务计算、核算、监督、管理相关工作；</w:t>
            </w:r>
          </w:p>
          <w:p>
            <w:pPr>
              <w:ind w:left="420" w:leftChars="200" w:firstLine="105" w:firstLineChars="50"/>
              <w:rPr>
                <w:rFonts w:hint="eastAsia"/>
                <w:szCs w:val="21"/>
                <w:lang w:val="en-US" w:eastAsia="zh-CN"/>
              </w:rPr>
            </w:pPr>
            <w:r>
              <w:rPr>
                <w:rFonts w:hint="eastAsia"/>
                <w:szCs w:val="21"/>
              </w:rPr>
              <w:t>◆</w:t>
            </w:r>
            <w:r>
              <w:rPr>
                <w:rFonts w:hint="eastAsia"/>
                <w:szCs w:val="21"/>
                <w:lang w:val="en-US" w:eastAsia="zh-CN"/>
              </w:rPr>
              <w:t>负责公司环境安全资金的投入</w:t>
            </w:r>
          </w:p>
          <w:p>
            <w:pPr>
              <w:ind w:left="420" w:leftChars="200" w:firstLine="105" w:firstLineChars="50"/>
              <w:rPr>
                <w:rFonts w:hint="eastAsia"/>
                <w:szCs w:val="21"/>
              </w:rPr>
            </w:pPr>
            <w:r>
              <w:rPr>
                <w:rFonts w:hint="eastAsia"/>
                <w:szCs w:val="21"/>
              </w:rPr>
              <w:t>◆负责组织本部门进行环境因素和危险源的识别、评价、跟踪和更新；</w:t>
            </w:r>
          </w:p>
          <w:p>
            <w:pPr>
              <w:ind w:left="420" w:leftChars="200" w:firstLine="105" w:firstLineChars="50"/>
              <w:rPr>
                <w:rFonts w:hint="eastAsia"/>
                <w:szCs w:val="21"/>
              </w:rPr>
            </w:pPr>
            <w:r>
              <w:rPr>
                <w:rFonts w:hint="eastAsia"/>
                <w:szCs w:val="21"/>
              </w:rPr>
              <w:t xml:space="preserve">◆做好本部门质量、环境和职业健康安全的管理工作； </w:t>
            </w:r>
          </w:p>
          <w:p>
            <w:pPr>
              <w:ind w:left="420" w:leftChars="200" w:firstLine="105" w:firstLineChars="50"/>
              <w:rPr>
                <w:rFonts w:hint="eastAsia"/>
                <w:szCs w:val="21"/>
              </w:rPr>
            </w:pPr>
            <w:r>
              <w:rPr>
                <w:rFonts w:hint="eastAsia"/>
                <w:szCs w:val="21"/>
              </w:rPr>
              <w:t>◆负责本部门的合规义务评审工作</w:t>
            </w:r>
          </w:p>
          <w:p>
            <w:pPr>
              <w:ind w:left="420" w:leftChars="200" w:firstLine="138" w:firstLineChars="66"/>
              <w:rPr>
                <w:rFonts w:hint="eastAsia"/>
                <w:szCs w:val="21"/>
              </w:rPr>
            </w:pPr>
            <w:r>
              <w:rPr>
                <w:rFonts w:hint="eastAsia"/>
                <w:szCs w:val="21"/>
              </w:rPr>
              <w:t>◆负责组织本部门进行环境因素和危险源的识别、评价、跟踪和更新；</w:t>
            </w:r>
          </w:p>
          <w:p>
            <w:pPr>
              <w:ind w:left="0" w:leftChars="0" w:firstLine="518" w:firstLineChars="247"/>
              <w:rPr>
                <w:rFonts w:hint="eastAsia"/>
                <w:szCs w:val="21"/>
              </w:rPr>
            </w:pPr>
            <w:r>
              <w:rPr>
                <w:rFonts w:hint="eastAsia"/>
                <w:szCs w:val="21"/>
              </w:rPr>
              <w:t>◆完成公司领导交办的其它各项工作。</w:t>
            </w:r>
          </w:p>
          <w:p>
            <w:pPr>
              <w:snapToGrid w:val="0"/>
              <w:spacing w:line="360" w:lineRule="auto"/>
              <w:rPr>
                <w:rFonts w:ascii="宋体" w:hAnsi="宋体" w:cs="新宋体"/>
                <w:szCs w:val="21"/>
              </w:rPr>
            </w:pPr>
            <w:r>
              <w:rPr>
                <w:rFonts w:hint="eastAsia" w:ascii="宋体" w:hAnsi="宋体" w:cs="新宋体"/>
                <w:szCs w:val="21"/>
              </w:rPr>
              <w:t>……</w:t>
            </w:r>
          </w:p>
          <w:p>
            <w:pPr>
              <w:snapToGrid w:val="0"/>
              <w:spacing w:line="360" w:lineRule="auto"/>
              <w:rPr>
                <w:rFonts w:ascii="宋体" w:hAnsi="宋体" w:cs="新宋体"/>
                <w:sz w:val="18"/>
                <w:szCs w:val="18"/>
              </w:rPr>
            </w:pPr>
            <w:r>
              <w:rPr>
                <w:rFonts w:hint="eastAsia" w:ascii="宋体" w:hAnsi="宋体" w:cs="新宋体"/>
                <w:szCs w:val="21"/>
              </w:rPr>
              <w:t>部门职责清晰、明确。</w:t>
            </w:r>
            <w:r>
              <w:rPr>
                <w:rFonts w:hint="eastAsia" w:ascii="宋体" w:hAnsi="宋体" w:cs="新宋体"/>
                <w:szCs w:val="21"/>
                <w:lang w:eastAsia="zh-CN"/>
              </w:rPr>
              <w:t>行政部（财政部）</w:t>
            </w:r>
            <w:r>
              <w:rPr>
                <w:rFonts w:hint="eastAsia" w:ascii="宋体" w:hAnsi="宋体" w:cs="新宋体"/>
                <w:szCs w:val="21"/>
              </w:rPr>
              <w:t>负责人能基本阐述本部门的主要职责。</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956" w:type="dxa"/>
          </w:tcPr>
          <w:p>
            <w:pPr>
              <w:rPr>
                <w:rFonts w:asciiTheme="minorEastAsia" w:hAnsiTheme="minorEastAsia" w:eastAsiaTheme="minorEastAsia" w:cstheme="minorEastAsia"/>
                <w:color w:val="000000" w:themeColor="text1"/>
                <w:szCs w:val="21"/>
              </w:rPr>
            </w:pPr>
          </w:p>
          <w:p>
            <w:pPr>
              <w:rPr>
                <w:rFonts w:asciiTheme="minorEastAsia" w:hAnsiTheme="minorEastAsia" w:eastAsiaTheme="minorEastAsia" w:cstheme="minorEastAsia"/>
                <w:color w:val="000000" w:themeColor="text1"/>
                <w:szCs w:val="21"/>
              </w:rPr>
            </w:pPr>
          </w:p>
          <w:p>
            <w:pPr>
              <w:rPr>
                <w:rFonts w:asciiTheme="minorEastAsia" w:hAnsiTheme="minorEastAsia" w:eastAsiaTheme="minorEastAsia" w:cstheme="minorEastAsia"/>
                <w:color w:val="000000" w:themeColor="text1"/>
                <w:szCs w:val="21"/>
              </w:rPr>
            </w:pPr>
          </w:p>
          <w:p>
            <w:pPr>
              <w:rPr>
                <w:rFonts w:asciiTheme="minorEastAsia" w:hAnsiTheme="minorEastAsia" w:eastAsiaTheme="minorEastAsia" w:cstheme="minorEastAsia"/>
                <w:color w:val="000000" w:themeColor="text1"/>
                <w:szCs w:val="21"/>
              </w:rPr>
            </w:pPr>
          </w:p>
          <w:p>
            <w:pPr>
              <w:rPr>
                <w:rFonts w:asciiTheme="minorEastAsia" w:hAnsiTheme="minorEastAsia" w:eastAsiaTheme="minorEastAsia" w:cstheme="minorEastAsia"/>
                <w:color w:val="000000" w:themeColor="text1"/>
                <w:szCs w:val="21"/>
              </w:rPr>
            </w:pPr>
          </w:p>
          <w:p>
            <w:pPr>
              <w:rPr>
                <w:rFonts w:hint="eastAsia" w:asciiTheme="minorEastAsia" w:hAnsiTheme="minorEastAsia" w:eastAsiaTheme="minorEastAsia" w:cstheme="minorEastAsia"/>
                <w:color w:val="000000" w:themeColor="text1"/>
                <w:szCs w:val="21"/>
              </w:rPr>
            </w:pPr>
          </w:p>
          <w:p>
            <w:pPr>
              <w:rPr>
                <w:rFonts w:hint="eastAsia" w:asciiTheme="minorEastAsia" w:hAnsiTheme="minorEastAsia" w:eastAsiaTheme="minorEastAsia" w:cstheme="minorEastAsia"/>
                <w:color w:val="000000" w:themeColor="text1"/>
                <w:szCs w:val="21"/>
              </w:rPr>
            </w:pPr>
          </w:p>
          <w:p>
            <w:pPr>
              <w:rPr>
                <w:rFonts w:asciiTheme="minorEastAsia" w:hAnsiTheme="minorEastAsia" w:eastAsiaTheme="minorEastAsia" w:cstheme="minorEastAsia"/>
                <w:color w:val="000000" w:themeColor="text1"/>
                <w:szCs w:val="21"/>
              </w:rPr>
            </w:pPr>
            <w:r>
              <w:rPr>
                <w:rFonts w:hint="eastAsia" w:asciiTheme="minorEastAsia" w:hAnsiTheme="minorEastAsia" w:eastAsiaTheme="minorEastAsia" w:cstheme="minorEastAsia"/>
                <w:color w:val="000000" w:themeColor="text1"/>
                <w:szCs w:val="21"/>
              </w:rPr>
              <w:t>目标、指标管理方案</w:t>
            </w:r>
          </w:p>
          <w:p>
            <w:pPr>
              <w:rPr>
                <w:color w:val="000000" w:themeColor="text1"/>
              </w:rPr>
            </w:pPr>
          </w:p>
        </w:tc>
        <w:tc>
          <w:tcPr>
            <w:tcW w:w="1164" w:type="dxa"/>
          </w:tcPr>
          <w:p>
            <w:pPr>
              <w:pStyle w:val="13"/>
              <w:rPr>
                <w:rFonts w:ascii="宋体" w:hAnsi="宋体" w:cs="Arial"/>
                <w:szCs w:val="21"/>
              </w:rPr>
            </w:pPr>
          </w:p>
          <w:p>
            <w:pPr>
              <w:pStyle w:val="13"/>
              <w:rPr>
                <w:rFonts w:ascii="宋体" w:hAnsi="宋体" w:cs="Arial"/>
                <w:szCs w:val="21"/>
              </w:rPr>
            </w:pPr>
          </w:p>
          <w:p>
            <w:pPr>
              <w:pStyle w:val="13"/>
              <w:rPr>
                <w:rFonts w:ascii="宋体" w:hAnsi="宋体" w:cs="Arial"/>
                <w:szCs w:val="21"/>
              </w:rPr>
            </w:pPr>
          </w:p>
          <w:p>
            <w:pPr>
              <w:pStyle w:val="13"/>
              <w:rPr>
                <w:rFonts w:ascii="宋体" w:hAnsi="宋体" w:cs="Arial"/>
                <w:szCs w:val="21"/>
              </w:rPr>
            </w:pPr>
          </w:p>
          <w:p>
            <w:pPr>
              <w:pStyle w:val="13"/>
              <w:rPr>
                <w:rFonts w:ascii="宋体" w:hAnsi="宋体" w:cs="Arial"/>
                <w:szCs w:val="21"/>
              </w:rPr>
            </w:pPr>
          </w:p>
          <w:p>
            <w:pPr>
              <w:pStyle w:val="13"/>
              <w:rPr>
                <w:rFonts w:hint="eastAsia" w:ascii="宋体" w:hAnsi="宋体" w:cs="Arial"/>
                <w:szCs w:val="21"/>
              </w:rPr>
            </w:pPr>
          </w:p>
          <w:p>
            <w:pPr>
              <w:pStyle w:val="13"/>
              <w:rPr>
                <w:rFonts w:hint="eastAsia" w:ascii="宋体" w:hAnsi="宋体" w:cs="Arial"/>
                <w:szCs w:val="21"/>
              </w:rPr>
            </w:pPr>
          </w:p>
          <w:p>
            <w:pPr>
              <w:pStyle w:val="13"/>
              <w:rPr>
                <w:color w:val="000000" w:themeColor="text1"/>
              </w:rPr>
            </w:pPr>
            <w:r>
              <w:rPr>
                <w:rFonts w:hint="eastAsia" w:ascii="宋体" w:hAnsi="宋体" w:cs="Arial"/>
                <w:szCs w:val="21"/>
              </w:rPr>
              <w:t>QEO：</w:t>
            </w:r>
            <w:r>
              <w:rPr>
                <w:rFonts w:hint="eastAsia" w:ascii="宋体" w:hAnsi="宋体" w:cs="新宋体"/>
                <w:szCs w:val="21"/>
              </w:rPr>
              <w:t>6.2</w:t>
            </w:r>
          </w:p>
        </w:tc>
        <w:tc>
          <w:tcPr>
            <w:tcW w:w="11012" w:type="dxa"/>
          </w:tcPr>
          <w:p>
            <w:pPr>
              <w:autoSpaceDE w:val="0"/>
              <w:autoSpaceDN w:val="0"/>
              <w:spacing w:line="360" w:lineRule="auto"/>
            </w:pPr>
            <w:r>
              <w:rPr>
                <w:rFonts w:hint="eastAsia"/>
              </w:rPr>
              <w:t>编制了《目标指标管理方案控制程序》，公司有将质量、环境、职业健康安全目标分解到各个部门，</w:t>
            </w:r>
          </w:p>
          <w:p>
            <w:pPr>
              <w:autoSpaceDE w:val="0"/>
              <w:autoSpaceDN w:val="0"/>
              <w:spacing w:line="360" w:lineRule="auto"/>
            </w:pPr>
            <w:r>
              <w:rPr>
                <w:rFonts w:hint="eastAsia" w:ascii="宋体" w:hAnsi="宋体" w:cs="新宋体"/>
                <w:szCs w:val="21"/>
                <w:lang w:eastAsia="zh-CN"/>
              </w:rPr>
              <w:t>行政部（财政部）</w:t>
            </w:r>
            <w:r>
              <w:rPr>
                <w:rFonts w:hint="eastAsia"/>
              </w:rPr>
              <w:t>的目标是：</w:t>
            </w:r>
          </w:p>
          <w:p>
            <w:pPr>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 xml:space="preserve">培训计划及时完成率100% </w:t>
            </w:r>
          </w:p>
          <w:p>
            <w:pPr>
              <w:spacing w:line="360" w:lineRule="auto"/>
              <w:rPr>
                <w:rFonts w:hint="eastAsia" w:ascii="宋体" w:hAnsi="宋体" w:eastAsia="宋体" w:cs="宋体"/>
                <w:sz w:val="21"/>
                <w:szCs w:val="21"/>
              </w:rPr>
            </w:pPr>
            <w:r>
              <w:rPr>
                <w:rFonts w:hint="eastAsia" w:ascii="宋体" w:hAnsi="宋体" w:eastAsia="宋体" w:cs="宋体"/>
                <w:sz w:val="21"/>
                <w:szCs w:val="21"/>
              </w:rPr>
              <w:t>2）、固体废弃物（含危废）有效处置率≥95%</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火灾爆炸事故为0</w:t>
            </w:r>
          </w:p>
          <w:p>
            <w:pPr>
              <w:tabs>
                <w:tab w:val="center" w:pos="3169"/>
              </w:tabs>
              <w:spacing w:line="360" w:lineRule="auto"/>
              <w:jc w:val="both"/>
            </w:pPr>
            <w:r>
              <w:rPr>
                <w:rFonts w:hint="eastAsia"/>
                <w:szCs w:val="22"/>
              </w:rPr>
              <w:t>20</w:t>
            </w:r>
            <w:r>
              <w:rPr>
                <w:rFonts w:hint="eastAsia"/>
                <w:szCs w:val="22"/>
                <w:lang w:val="en-US" w:eastAsia="zh-CN"/>
              </w:rPr>
              <w:t>20.5</w:t>
            </w:r>
            <w:r>
              <w:rPr>
                <w:rFonts w:hint="eastAsia"/>
                <w:szCs w:val="22"/>
              </w:rPr>
              <w:t>考核情况：经查已完成。</w:t>
            </w:r>
          </w:p>
          <w:p>
            <w:pPr>
              <w:tabs>
                <w:tab w:val="center" w:pos="3169"/>
              </w:tabs>
              <w:spacing w:line="360" w:lineRule="auto"/>
              <w:jc w:val="both"/>
              <w:rPr>
                <w:rFonts w:hint="eastAsia" w:ascii="Times New Roman" w:hAnsi="Times New Roman" w:eastAsia="宋体" w:cs="Times New Roman"/>
                <w:szCs w:val="22"/>
              </w:rPr>
            </w:pPr>
            <w:r>
              <w:rPr>
                <w:rFonts w:hint="eastAsia"/>
                <w:szCs w:val="22"/>
              </w:rPr>
              <w:t>抽查《20</w:t>
            </w:r>
            <w:r>
              <w:rPr>
                <w:rFonts w:hint="eastAsia"/>
                <w:szCs w:val="22"/>
                <w:lang w:val="en-US" w:eastAsia="zh-CN"/>
              </w:rPr>
              <w:t>20</w:t>
            </w:r>
            <w:r>
              <w:rPr>
                <w:rFonts w:hint="eastAsia"/>
                <w:szCs w:val="22"/>
              </w:rPr>
              <w:t>年度</w:t>
            </w:r>
            <w:r>
              <w:rPr>
                <w:rFonts w:hint="eastAsia"/>
                <w:szCs w:val="22"/>
                <w:lang w:val="en-US" w:eastAsia="zh-CN"/>
              </w:rPr>
              <w:t>1-5月</w:t>
            </w:r>
            <w:r>
              <w:rPr>
                <w:rFonts w:hint="eastAsia" w:ascii="Times New Roman" w:hAnsi="Times New Roman" w:eastAsia="宋体" w:cs="Times New Roman"/>
                <w:szCs w:val="22"/>
              </w:rPr>
              <w:t>目标完成情况统计表》</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622"/>
              <w:gridCol w:w="2385"/>
              <w:gridCol w:w="421"/>
              <w:gridCol w:w="2699"/>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noWrap w:val="0"/>
                  <w:vAlign w:val="top"/>
                </w:tcPr>
                <w:p>
                  <w:pPr>
                    <w:ind w:left="9" w:leftChars="1" w:hanging="7" w:hangingChars="3"/>
                    <w:jc w:val="center"/>
                    <w:rPr>
                      <w:rFonts w:ascii="Arial" w:hAnsi="Arial" w:cs="Arial"/>
                      <w:sz w:val="24"/>
                    </w:rPr>
                  </w:pPr>
                  <w:r>
                    <w:rPr>
                      <w:rFonts w:ascii="Arial" w:hAnsi="宋体" w:cs="Arial"/>
                      <w:sz w:val="24"/>
                    </w:rPr>
                    <w:t>部门</w:t>
                  </w:r>
                </w:p>
              </w:tc>
              <w:tc>
                <w:tcPr>
                  <w:tcW w:w="2622" w:type="dxa"/>
                  <w:noWrap w:val="0"/>
                  <w:vAlign w:val="top"/>
                </w:tcPr>
                <w:p>
                  <w:pPr>
                    <w:jc w:val="center"/>
                    <w:rPr>
                      <w:rFonts w:ascii="Arial" w:hAnsi="Arial" w:cs="Arial"/>
                      <w:sz w:val="24"/>
                    </w:rPr>
                  </w:pPr>
                  <w:r>
                    <w:rPr>
                      <w:rFonts w:ascii="Arial" w:hAnsi="宋体" w:cs="Arial"/>
                      <w:sz w:val="24"/>
                    </w:rPr>
                    <w:t>部门目标</w:t>
                  </w:r>
                </w:p>
              </w:tc>
              <w:tc>
                <w:tcPr>
                  <w:tcW w:w="2385" w:type="dxa"/>
                  <w:noWrap w:val="0"/>
                  <w:vAlign w:val="top"/>
                </w:tcPr>
                <w:p>
                  <w:pPr>
                    <w:jc w:val="center"/>
                    <w:rPr>
                      <w:rFonts w:ascii="Arial" w:hAnsi="Arial" w:cs="Arial"/>
                      <w:sz w:val="24"/>
                    </w:rPr>
                  </w:pPr>
                  <w:r>
                    <w:rPr>
                      <w:rFonts w:ascii="Arial" w:hAnsi="宋体" w:cs="Arial"/>
                      <w:sz w:val="24"/>
                    </w:rPr>
                    <w:t>统计方式</w:t>
                  </w:r>
                </w:p>
              </w:tc>
              <w:tc>
                <w:tcPr>
                  <w:tcW w:w="421" w:type="dxa"/>
                  <w:noWrap w:val="0"/>
                  <w:vAlign w:val="top"/>
                </w:tcPr>
                <w:p>
                  <w:pPr>
                    <w:jc w:val="center"/>
                    <w:rPr>
                      <w:rFonts w:ascii="Arial" w:hAnsi="Arial" w:cs="Arial"/>
                      <w:sz w:val="24"/>
                    </w:rPr>
                  </w:pPr>
                  <w:r>
                    <w:rPr>
                      <w:rFonts w:ascii="Arial" w:hAnsi="宋体" w:cs="Arial"/>
                      <w:sz w:val="24"/>
                    </w:rPr>
                    <w:t>周期</w:t>
                  </w:r>
                </w:p>
              </w:tc>
              <w:tc>
                <w:tcPr>
                  <w:tcW w:w="2699" w:type="dxa"/>
                  <w:noWrap w:val="0"/>
                  <w:vAlign w:val="top"/>
                </w:tcPr>
                <w:p>
                  <w:pPr>
                    <w:jc w:val="center"/>
                    <w:rPr>
                      <w:rFonts w:ascii="Arial" w:hAnsi="Arial" w:cs="Arial"/>
                      <w:sz w:val="24"/>
                    </w:rPr>
                  </w:pPr>
                  <w:r>
                    <w:rPr>
                      <w:rFonts w:ascii="Arial" w:hAnsi="宋体" w:cs="Arial"/>
                      <w:sz w:val="24"/>
                    </w:rPr>
                    <w:t>完成情况</w:t>
                  </w:r>
                </w:p>
              </w:tc>
              <w:tc>
                <w:tcPr>
                  <w:tcW w:w="1204" w:type="dxa"/>
                  <w:noWrap w:val="0"/>
                  <w:vAlign w:val="top"/>
                </w:tcPr>
                <w:p>
                  <w:pPr>
                    <w:jc w:val="center"/>
                    <w:rPr>
                      <w:rFonts w:ascii="Arial" w:hAnsi="Arial" w:cs="Arial"/>
                      <w:sz w:val="24"/>
                    </w:rPr>
                  </w:pPr>
                  <w:r>
                    <w:rPr>
                      <w:rFonts w:ascii="Arial" w:hAnsi="宋体" w:cs="Arial"/>
                      <w:sz w:val="24"/>
                    </w:rPr>
                    <w:t>考核情况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noWrap w:val="0"/>
                  <w:vAlign w:val="top"/>
                </w:tcPr>
                <w:p>
                  <w:pPr>
                    <w:rPr>
                      <w:rFonts w:ascii="Arial" w:hAnsi="Arial" w:cs="Arial"/>
                      <w:sz w:val="24"/>
                    </w:rPr>
                  </w:pPr>
                  <w:r>
                    <w:rPr>
                      <w:rFonts w:ascii="Arial" w:hAnsi="宋体" w:cs="Arial"/>
                      <w:sz w:val="24"/>
                    </w:rPr>
                    <w:t>公司总目标</w:t>
                  </w:r>
                </w:p>
              </w:tc>
              <w:tc>
                <w:tcPr>
                  <w:tcW w:w="2622" w:type="dxa"/>
                  <w:noWrap w:val="0"/>
                  <w:vAlign w:val="top"/>
                </w:tcPr>
                <w:p>
                  <w:pPr>
                    <w:rPr>
                      <w:rFonts w:hint="eastAsia" w:ascii="宋体" w:hAnsi="宋体"/>
                      <w:sz w:val="21"/>
                      <w:szCs w:val="21"/>
                      <w:lang w:val="en-US" w:eastAsia="zh-CN"/>
                    </w:rPr>
                  </w:pPr>
                  <w:r>
                    <w:rPr>
                      <w:rFonts w:hint="eastAsia" w:ascii="宋体" w:hAnsi="宋体"/>
                      <w:sz w:val="21"/>
                      <w:szCs w:val="21"/>
                      <w:lang w:val="en-US" w:eastAsia="zh-CN"/>
                    </w:rPr>
                    <w:t>1</w:t>
                  </w:r>
                  <w:r>
                    <w:rPr>
                      <w:rFonts w:hint="eastAsia" w:ascii="宋体" w:hAnsi="宋体"/>
                      <w:sz w:val="21"/>
                      <w:szCs w:val="21"/>
                    </w:rPr>
                    <w:t>.顾客满意</w:t>
                  </w:r>
                  <w:r>
                    <w:rPr>
                      <w:rFonts w:hint="eastAsia" w:ascii="宋体" w:hAnsi="宋体"/>
                      <w:sz w:val="21"/>
                      <w:szCs w:val="21"/>
                      <w:lang w:eastAsia="zh-CN"/>
                    </w:rPr>
                    <w:t>度</w:t>
                  </w:r>
                  <w:r>
                    <w:rPr>
                      <w:rFonts w:hint="eastAsia" w:ascii="宋体" w:hAnsi="宋体"/>
                      <w:sz w:val="21"/>
                      <w:szCs w:val="21"/>
                      <w:lang w:val="en-US" w:eastAsia="zh-CN"/>
                    </w:rPr>
                    <w:t>90分</w:t>
                  </w:r>
                  <w:r>
                    <w:rPr>
                      <w:rFonts w:hint="eastAsia" w:ascii="宋体" w:hAnsi="宋体"/>
                      <w:sz w:val="21"/>
                      <w:szCs w:val="21"/>
                    </w:rPr>
                    <w:t>以上；</w:t>
                  </w:r>
                </w:p>
                <w:p>
                  <w:pPr>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lang w:eastAsia="zh-CN"/>
                    </w:rPr>
                    <w:t xml:space="preserve"> 客户反馈处理率100%；</w:t>
                  </w:r>
                </w:p>
                <w:p>
                  <w:pPr>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固体废弃物（含危废）有效处置率≥95%；</w:t>
                  </w:r>
                </w:p>
                <w:p>
                  <w:pPr>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无火灾事故发生</w:t>
                  </w:r>
                </w:p>
                <w:p>
                  <w:pPr>
                    <w:rPr>
                      <w:rFonts w:hint="eastAsia" w:ascii="宋体" w:hAnsi="宋体"/>
                      <w:sz w:val="21"/>
                      <w:szCs w:val="21"/>
                      <w:lang w:val="en-US" w:eastAsia="zh-CN"/>
                    </w:rPr>
                  </w:pPr>
                  <w:r>
                    <w:rPr>
                      <w:rFonts w:hint="eastAsia" w:ascii="宋体" w:hAnsi="宋体"/>
                      <w:sz w:val="21"/>
                      <w:szCs w:val="21"/>
                      <w:lang w:val="en-US" w:eastAsia="zh-CN"/>
                    </w:rPr>
                    <w:t>5.重大安全事故为0</w:t>
                  </w:r>
                </w:p>
                <w:p>
                  <w:pPr>
                    <w:rPr>
                      <w:rFonts w:hint="eastAsia" w:ascii="宋体" w:hAnsi="宋体"/>
                      <w:sz w:val="21"/>
                      <w:szCs w:val="21"/>
                      <w:lang w:val="en-US" w:eastAsia="zh-CN"/>
                    </w:rPr>
                  </w:pPr>
                  <w:r>
                    <w:rPr>
                      <w:rFonts w:hint="eastAsia" w:ascii="宋体" w:hAnsi="宋体"/>
                      <w:sz w:val="21"/>
                      <w:szCs w:val="21"/>
                      <w:lang w:val="en-US" w:eastAsia="zh-CN"/>
                    </w:rPr>
                    <w:t>6.火灾爆炸事故为0</w:t>
                  </w:r>
                </w:p>
                <w:p>
                  <w:pPr>
                    <w:rPr>
                      <w:rFonts w:hint="eastAsia" w:ascii="宋体" w:hAnsi="宋体" w:eastAsia="宋体"/>
                      <w:color w:val="000000"/>
                      <w:sz w:val="24"/>
                      <w:lang w:val="en-US" w:eastAsia="zh-CN"/>
                    </w:rPr>
                  </w:pPr>
                </w:p>
              </w:tc>
              <w:tc>
                <w:tcPr>
                  <w:tcW w:w="2385" w:type="dxa"/>
                  <w:noWrap w:val="0"/>
                  <w:vAlign w:val="top"/>
                </w:tcPr>
                <w:p>
                  <w:pPr>
                    <w:rPr>
                      <w:rFonts w:ascii="Arial" w:hAnsi="Arial" w:cs="Arial"/>
                      <w:szCs w:val="21"/>
                    </w:rPr>
                  </w:pPr>
                  <w:r>
                    <w:rPr>
                      <w:rFonts w:hint="eastAsia" w:ascii="Arial" w:hAnsi="Arial" w:cs="Arial"/>
                      <w:szCs w:val="21"/>
                      <w:lang w:val="en-US" w:eastAsia="zh-CN"/>
                    </w:rPr>
                    <w:t>1</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质量加权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价格加权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交付加权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服务加权）</w:t>
                  </w:r>
                  <w:r>
                    <w:rPr>
                      <w:rFonts w:ascii="Arial" w:hAnsi="Arial" w:cs="Arial"/>
                      <w:szCs w:val="21"/>
                    </w:rPr>
                    <w:t>/</w:t>
                  </w:r>
                  <w:r>
                    <w:rPr>
                      <w:rFonts w:ascii="Arial" w:hAnsi="宋体" w:cs="Arial"/>
                      <w:szCs w:val="21"/>
                    </w:rPr>
                    <w:t>加权总数</w:t>
                  </w:r>
                </w:p>
                <w:p>
                  <w:pPr>
                    <w:rPr>
                      <w:rFonts w:ascii="Arial" w:hAnsi="Arial" w:cs="Arial"/>
                      <w:szCs w:val="21"/>
                    </w:rPr>
                  </w:pPr>
                  <w:r>
                    <w:rPr>
                      <w:rFonts w:hint="eastAsia" w:ascii="Arial" w:hAnsi="Arial" w:cs="Arial"/>
                      <w:szCs w:val="21"/>
                      <w:lang w:val="en-US" w:eastAsia="zh-CN"/>
                    </w:rPr>
                    <w:t>2.</w:t>
                  </w:r>
                  <w:r>
                    <w:rPr>
                      <w:rFonts w:ascii="Arial" w:hAnsi="宋体" w:cs="Arial"/>
                      <w:szCs w:val="21"/>
                    </w:rPr>
                    <w:t>客户反馈问题处理次数</w:t>
                  </w:r>
                  <w:r>
                    <w:rPr>
                      <w:rFonts w:ascii="Arial" w:hAnsi="Arial" w:cs="Arial"/>
                      <w:szCs w:val="21"/>
                    </w:rPr>
                    <w:t>/</w:t>
                  </w:r>
                  <w:r>
                    <w:rPr>
                      <w:rFonts w:ascii="Arial" w:hAnsi="宋体" w:cs="Arial"/>
                      <w:szCs w:val="21"/>
                    </w:rPr>
                    <w:t>客户反馈问题总数</w:t>
                  </w:r>
                  <w:r>
                    <w:rPr>
                      <w:rFonts w:ascii="Arial" w:hAnsi="Arial" w:cs="Arial"/>
                      <w:szCs w:val="21"/>
                    </w:rPr>
                    <w:t>×100%</w:t>
                  </w:r>
                </w:p>
                <w:p>
                  <w:pPr>
                    <w:rPr>
                      <w:rFonts w:ascii="Arial" w:hAnsi="宋体" w:cs="Arial"/>
                      <w:szCs w:val="21"/>
                    </w:rPr>
                  </w:pPr>
                  <w:r>
                    <w:rPr>
                      <w:rFonts w:hint="eastAsia" w:ascii="Arial" w:hAnsi="Arial" w:cs="Arial"/>
                      <w:szCs w:val="21"/>
                      <w:lang w:val="en-US" w:eastAsia="zh-CN"/>
                    </w:rPr>
                    <w:t>3.</w:t>
                  </w:r>
                  <w:r>
                    <w:rPr>
                      <w:rFonts w:ascii="Arial" w:hAnsi="宋体" w:cs="Arial"/>
                      <w:szCs w:val="21"/>
                    </w:rPr>
                    <w:t>环境日常监视测量记录显示的固体分类收集符合性</w:t>
                  </w:r>
                </w:p>
                <w:p>
                  <w:pPr>
                    <w:rPr>
                      <w:rFonts w:hint="eastAsia" w:ascii="Arial" w:hAnsi="宋体" w:eastAsia="宋体" w:cs="Arial"/>
                      <w:szCs w:val="21"/>
                      <w:lang w:val="en-US" w:eastAsia="zh-CN"/>
                    </w:rPr>
                  </w:pPr>
                  <w:r>
                    <w:rPr>
                      <w:rFonts w:hint="eastAsia" w:ascii="Arial" w:hAnsi="宋体" w:cs="Arial"/>
                      <w:szCs w:val="21"/>
                      <w:lang w:val="en-US" w:eastAsia="zh-CN"/>
                    </w:rPr>
                    <w:t>4/5/6</w:t>
                  </w:r>
                  <w:r>
                    <w:rPr>
                      <w:rFonts w:hint="eastAsia" w:ascii="Arial" w:hAnsi="Arial" w:cs="Arial"/>
                      <w:szCs w:val="21"/>
                      <w:lang w:val="en-US" w:eastAsia="zh-CN"/>
                    </w:rPr>
                    <w:t>为</w:t>
                  </w:r>
                  <w:r>
                    <w:rPr>
                      <w:rFonts w:ascii="Arial" w:hAnsi="宋体" w:cs="Arial"/>
                      <w:szCs w:val="21"/>
                    </w:rPr>
                    <w:t>实际发生次数</w:t>
                  </w:r>
                </w:p>
              </w:tc>
              <w:tc>
                <w:tcPr>
                  <w:tcW w:w="421" w:type="dxa"/>
                  <w:noWrap w:val="0"/>
                  <w:vAlign w:val="top"/>
                </w:tcPr>
                <w:p>
                  <w:pPr>
                    <w:rPr>
                      <w:rFonts w:ascii="Arial" w:hAnsi="Arial" w:cs="Arial"/>
                      <w:sz w:val="24"/>
                    </w:rPr>
                  </w:pPr>
                  <w:r>
                    <w:rPr>
                      <w:rFonts w:ascii="Arial" w:hAnsi="宋体" w:cs="Arial"/>
                      <w:szCs w:val="21"/>
                    </w:rPr>
                    <w:t>半年</w:t>
                  </w:r>
                </w:p>
              </w:tc>
              <w:tc>
                <w:tcPr>
                  <w:tcW w:w="2699" w:type="dxa"/>
                  <w:noWrap w:val="0"/>
                  <w:vAlign w:val="top"/>
                </w:tcPr>
                <w:p>
                  <w:pPr>
                    <w:rPr>
                      <w:rFonts w:ascii="Arial" w:hAnsi="宋体" w:cs="Arial"/>
                      <w:szCs w:val="21"/>
                    </w:rPr>
                  </w:pPr>
                  <w:r>
                    <w:rPr>
                      <w:rFonts w:hint="eastAsia" w:ascii="Arial" w:hAnsi="Arial" w:cs="Arial"/>
                      <w:szCs w:val="21"/>
                      <w:lang w:val="en-US" w:eastAsia="zh-CN"/>
                    </w:rPr>
                    <w:t>1</w:t>
                  </w:r>
                  <w:r>
                    <w:rPr>
                      <w:rFonts w:ascii="Arial" w:hAnsi="Arial" w:cs="Arial"/>
                      <w:szCs w:val="21"/>
                    </w:rPr>
                    <w:t>.</w:t>
                  </w:r>
                  <w:r>
                    <w:rPr>
                      <w:rFonts w:hint="eastAsia" w:ascii="宋体" w:hAnsi="宋体"/>
                      <w:sz w:val="21"/>
                      <w:szCs w:val="21"/>
                      <w:lang w:eastAsia="zh-CN"/>
                    </w:rPr>
                    <w:t>客户</w:t>
                  </w:r>
                  <w:r>
                    <w:rPr>
                      <w:rFonts w:hint="eastAsia" w:ascii="宋体" w:hAnsi="宋体"/>
                      <w:sz w:val="21"/>
                      <w:szCs w:val="21"/>
                    </w:rPr>
                    <w:t>满意</w:t>
                  </w:r>
                  <w:r>
                    <w:rPr>
                      <w:rFonts w:hint="eastAsia" w:ascii="宋体" w:hAnsi="宋体"/>
                      <w:sz w:val="21"/>
                      <w:szCs w:val="21"/>
                      <w:lang w:eastAsia="zh-CN"/>
                    </w:rPr>
                    <w:t>度</w:t>
                  </w:r>
                  <w:r>
                    <w:rPr>
                      <w:rFonts w:hint="eastAsia" w:ascii="宋体" w:hAnsi="宋体"/>
                      <w:sz w:val="21"/>
                      <w:szCs w:val="21"/>
                      <w:lang w:val="en-US" w:eastAsia="zh-CN"/>
                    </w:rPr>
                    <w:t>98.7分</w:t>
                  </w:r>
                  <w:r>
                    <w:rPr>
                      <w:rFonts w:ascii="Arial" w:hAnsi="宋体" w:cs="Arial"/>
                      <w:sz w:val="21"/>
                      <w:szCs w:val="21"/>
                    </w:rPr>
                    <w:t>；</w:t>
                  </w:r>
                </w:p>
                <w:p>
                  <w:pPr>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 xml:space="preserve"> </w:t>
                  </w:r>
                  <w:r>
                    <w:rPr>
                      <w:rFonts w:ascii="Arial" w:hAnsi="宋体" w:cs="Arial"/>
                      <w:sz w:val="21"/>
                      <w:szCs w:val="21"/>
                    </w:rPr>
                    <w:t>客户反馈处理率</w:t>
                  </w:r>
                  <w:r>
                    <w:rPr>
                      <w:rFonts w:ascii="Arial" w:hAnsi="Arial" w:cs="Arial"/>
                      <w:sz w:val="21"/>
                      <w:szCs w:val="21"/>
                    </w:rPr>
                    <w:t>100%</w:t>
                  </w:r>
                  <w:r>
                    <w:rPr>
                      <w:rFonts w:hint="eastAsia" w:ascii="宋体" w:hAnsi="宋体"/>
                      <w:sz w:val="21"/>
                      <w:szCs w:val="21"/>
                    </w:rPr>
                    <w:t>；</w:t>
                  </w:r>
                </w:p>
                <w:p>
                  <w:pPr>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固体废弃物（含危废）有效处置率9</w:t>
                  </w:r>
                  <w:r>
                    <w:rPr>
                      <w:rFonts w:hint="eastAsia" w:ascii="宋体" w:hAnsi="宋体"/>
                      <w:sz w:val="21"/>
                      <w:szCs w:val="21"/>
                      <w:lang w:val="en-US" w:eastAsia="zh-CN"/>
                    </w:rPr>
                    <w:t>8</w:t>
                  </w:r>
                  <w:r>
                    <w:rPr>
                      <w:rFonts w:hint="eastAsia" w:ascii="宋体" w:hAnsi="宋体"/>
                      <w:sz w:val="21"/>
                      <w:szCs w:val="21"/>
                    </w:rPr>
                    <w:t>%；</w:t>
                  </w:r>
                </w:p>
                <w:p>
                  <w:pPr>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无火灾事故发生</w:t>
                  </w:r>
                </w:p>
                <w:p>
                  <w:pPr>
                    <w:rPr>
                      <w:rFonts w:hint="eastAsia" w:ascii="宋体" w:hAnsi="宋体"/>
                      <w:sz w:val="21"/>
                      <w:szCs w:val="21"/>
                      <w:lang w:val="en-US" w:eastAsia="zh-CN"/>
                    </w:rPr>
                  </w:pPr>
                  <w:r>
                    <w:rPr>
                      <w:rFonts w:hint="eastAsia" w:ascii="宋体" w:hAnsi="宋体"/>
                      <w:sz w:val="21"/>
                      <w:szCs w:val="21"/>
                      <w:lang w:val="en-US" w:eastAsia="zh-CN"/>
                    </w:rPr>
                    <w:t>5.重大安全事故为0</w:t>
                  </w:r>
                </w:p>
                <w:p>
                  <w:pPr>
                    <w:rPr>
                      <w:rFonts w:ascii="Arial" w:hAnsi="Arial" w:cs="Arial"/>
                      <w:sz w:val="24"/>
                    </w:rPr>
                  </w:pPr>
                  <w:r>
                    <w:rPr>
                      <w:rFonts w:hint="eastAsia" w:ascii="宋体" w:hAnsi="宋体"/>
                      <w:sz w:val="21"/>
                      <w:szCs w:val="21"/>
                      <w:lang w:val="en-US" w:eastAsia="zh-CN"/>
                    </w:rPr>
                    <w:t>6.火灾爆炸事故为0</w:t>
                  </w:r>
                </w:p>
              </w:tc>
              <w:tc>
                <w:tcPr>
                  <w:tcW w:w="1204" w:type="dxa"/>
                  <w:noWrap w:val="0"/>
                  <w:vAlign w:val="top"/>
                </w:tcPr>
                <w:p>
                  <w:pPr>
                    <w:jc w:val="center"/>
                    <w:rPr>
                      <w:rFonts w:ascii="Arial" w:hAnsi="Arial" w:cs="Arial"/>
                      <w:sz w:val="24"/>
                    </w:rPr>
                  </w:pPr>
                  <w:r>
                    <w:rPr>
                      <w:rFonts w:ascii="Arial" w:hAnsi="宋体" w:cs="Arial"/>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noWrap w:val="0"/>
                  <w:vAlign w:val="top"/>
                </w:tcPr>
                <w:p>
                  <w:pPr>
                    <w:rPr>
                      <w:rFonts w:hint="eastAsia" w:ascii="Arial" w:hAnsi="Arial" w:eastAsia="宋体" w:cs="Arial"/>
                      <w:sz w:val="24"/>
                      <w:lang w:eastAsia="zh-CN"/>
                    </w:rPr>
                  </w:pPr>
                  <w:r>
                    <w:rPr>
                      <w:rFonts w:hint="eastAsia" w:ascii="Arial" w:hAnsi="宋体" w:cs="Arial"/>
                      <w:sz w:val="24"/>
                      <w:lang w:eastAsia="zh-CN"/>
                    </w:rPr>
                    <w:t>行政部</w:t>
                  </w:r>
                </w:p>
              </w:tc>
              <w:tc>
                <w:tcPr>
                  <w:tcW w:w="2622" w:type="dxa"/>
                  <w:noWrap w:val="0"/>
                  <w:vAlign w:val="top"/>
                </w:tcPr>
                <w:p>
                  <w:pPr>
                    <w:rPr>
                      <w:rFonts w:ascii="Arial" w:hAnsi="Arial" w:cs="Arial"/>
                      <w:sz w:val="21"/>
                      <w:szCs w:val="21"/>
                    </w:rPr>
                  </w:pPr>
                  <w:r>
                    <w:rPr>
                      <w:rFonts w:ascii="Arial" w:hAnsi="Arial" w:cs="Arial"/>
                      <w:sz w:val="21"/>
                      <w:szCs w:val="21"/>
                    </w:rPr>
                    <w:t>1.</w:t>
                  </w:r>
                  <w:r>
                    <w:rPr>
                      <w:rFonts w:ascii="Arial" w:hAnsi="宋体" w:cs="Arial"/>
                      <w:sz w:val="21"/>
                      <w:szCs w:val="21"/>
                    </w:rPr>
                    <w:t>培训计划及时完成率</w:t>
                  </w:r>
                  <w:r>
                    <w:rPr>
                      <w:rFonts w:ascii="Arial" w:hAnsi="Arial" w:cs="Arial"/>
                      <w:sz w:val="21"/>
                      <w:szCs w:val="21"/>
                    </w:rPr>
                    <w:t xml:space="preserve">100% </w:t>
                  </w:r>
                </w:p>
                <w:p>
                  <w:pPr>
                    <w:rPr>
                      <w:rFonts w:ascii="Arial" w:hAnsi="宋体" w:cs="Arial"/>
                      <w:sz w:val="21"/>
                      <w:szCs w:val="21"/>
                    </w:rPr>
                  </w:pPr>
                  <w:r>
                    <w:rPr>
                      <w:rFonts w:ascii="Arial" w:hAnsi="Arial" w:cs="Arial"/>
                      <w:sz w:val="21"/>
                      <w:szCs w:val="21"/>
                    </w:rPr>
                    <w:t>2</w:t>
                  </w:r>
                  <w:r>
                    <w:rPr>
                      <w:rFonts w:ascii="Arial" w:hAnsi="宋体" w:cs="Arial"/>
                      <w:sz w:val="21"/>
                      <w:szCs w:val="21"/>
                    </w:rPr>
                    <w:t>.</w:t>
                  </w:r>
                  <w:r>
                    <w:rPr>
                      <w:rFonts w:hint="eastAsia" w:ascii="Arial" w:hAnsi="宋体" w:cs="Arial"/>
                      <w:sz w:val="21"/>
                      <w:szCs w:val="21"/>
                    </w:rPr>
                    <w:t>固体废弃物（含危废）有效处置率≥95%</w:t>
                  </w:r>
                </w:p>
                <w:p>
                  <w:pPr>
                    <w:rPr>
                      <w:rFonts w:hint="eastAsia" w:ascii="Arial" w:hAnsi="宋体" w:cs="Arial"/>
                      <w:sz w:val="21"/>
                      <w:szCs w:val="21"/>
                      <w:lang w:val="en-US" w:eastAsia="zh-CN"/>
                    </w:rPr>
                  </w:pPr>
                  <w:r>
                    <w:rPr>
                      <w:rFonts w:ascii="Arial" w:hAnsi="宋体" w:cs="Arial"/>
                      <w:sz w:val="21"/>
                      <w:szCs w:val="21"/>
                    </w:rPr>
                    <w:t>3.</w:t>
                  </w:r>
                  <w:r>
                    <w:rPr>
                      <w:rFonts w:hint="eastAsia" w:ascii="Arial" w:hAnsi="宋体" w:cs="Arial"/>
                      <w:sz w:val="21"/>
                      <w:szCs w:val="21"/>
                    </w:rPr>
                    <w:t>火灾爆炸事故为0</w:t>
                  </w:r>
                </w:p>
                <w:p>
                  <w:pPr>
                    <w:rPr>
                      <w:rFonts w:hint="eastAsia" w:ascii="宋体" w:hAnsi="宋体" w:eastAsia="宋体" w:cs="宋体"/>
                      <w:sz w:val="21"/>
                      <w:szCs w:val="21"/>
                      <w:lang w:val="en-US" w:eastAsia="zh-CN"/>
                    </w:rPr>
                  </w:pPr>
                </w:p>
              </w:tc>
              <w:tc>
                <w:tcPr>
                  <w:tcW w:w="2385" w:type="dxa"/>
                  <w:noWrap w:val="0"/>
                  <w:vAlign w:val="top"/>
                </w:tcPr>
                <w:p>
                  <w:pPr>
                    <w:rPr>
                      <w:rFonts w:ascii="Arial" w:hAnsi="Arial" w:cs="Arial"/>
                      <w:szCs w:val="21"/>
                    </w:rPr>
                  </w:pPr>
                  <w:r>
                    <w:rPr>
                      <w:rFonts w:ascii="Arial" w:hAnsi="Arial" w:cs="Arial"/>
                      <w:szCs w:val="21"/>
                    </w:rPr>
                    <w:t>1.</w:t>
                  </w:r>
                  <w:r>
                    <w:rPr>
                      <w:rFonts w:ascii="Arial" w:hAnsi="宋体" w:cs="Arial"/>
                      <w:szCs w:val="21"/>
                    </w:rPr>
                    <w:t>培训完成数量</w:t>
                  </w:r>
                  <w:r>
                    <w:rPr>
                      <w:rFonts w:ascii="Arial" w:hAnsi="Arial" w:cs="Arial"/>
                      <w:szCs w:val="21"/>
                    </w:rPr>
                    <w:t>/</w:t>
                  </w:r>
                  <w:r>
                    <w:rPr>
                      <w:rFonts w:ascii="Arial" w:hAnsi="宋体" w:cs="Arial"/>
                      <w:szCs w:val="21"/>
                    </w:rPr>
                    <w:t>计划培训总数</w:t>
                  </w:r>
                  <w:r>
                    <w:rPr>
                      <w:rFonts w:ascii="Arial" w:hAnsi="Arial" w:cs="Arial"/>
                      <w:szCs w:val="21"/>
                    </w:rPr>
                    <w:t>×100%</w:t>
                  </w:r>
                </w:p>
                <w:p>
                  <w:pPr>
                    <w:rPr>
                      <w:rFonts w:ascii="Arial" w:hAnsi="Arial" w:cs="Arial"/>
                      <w:szCs w:val="21"/>
                    </w:rPr>
                  </w:pPr>
                  <w:r>
                    <w:rPr>
                      <w:rFonts w:ascii="Arial" w:hAnsi="Arial" w:cs="Arial"/>
                      <w:szCs w:val="21"/>
                    </w:rPr>
                    <w:t>2.</w:t>
                  </w:r>
                  <w:r>
                    <w:rPr>
                      <w:rFonts w:ascii="Arial" w:hAnsi="宋体" w:cs="Arial"/>
                      <w:szCs w:val="21"/>
                    </w:rPr>
                    <w:t>环境日常监视测量记录显示的固体分类收集符合性</w:t>
                  </w:r>
                </w:p>
                <w:p>
                  <w:pPr>
                    <w:rPr>
                      <w:rFonts w:ascii="Arial" w:hAnsi="Arial" w:cs="Arial"/>
                      <w:sz w:val="24"/>
                    </w:rPr>
                  </w:pPr>
                  <w:r>
                    <w:rPr>
                      <w:rFonts w:ascii="Arial" w:hAnsi="Arial" w:cs="Arial"/>
                      <w:szCs w:val="21"/>
                    </w:rPr>
                    <w:t>3</w:t>
                  </w:r>
                  <w:r>
                    <w:rPr>
                      <w:rFonts w:hint="eastAsia" w:ascii="Arial" w:hAnsi="Arial" w:cs="Arial"/>
                      <w:szCs w:val="21"/>
                      <w:lang w:val="en-US" w:eastAsia="zh-CN"/>
                    </w:rPr>
                    <w:t>：为</w:t>
                  </w:r>
                  <w:r>
                    <w:rPr>
                      <w:rFonts w:ascii="Arial" w:hAnsi="宋体" w:cs="Arial"/>
                      <w:szCs w:val="21"/>
                    </w:rPr>
                    <w:t>实际发生次数</w:t>
                  </w:r>
                </w:p>
              </w:tc>
              <w:tc>
                <w:tcPr>
                  <w:tcW w:w="421" w:type="dxa"/>
                  <w:noWrap w:val="0"/>
                  <w:vAlign w:val="top"/>
                </w:tcPr>
                <w:p>
                  <w:pPr>
                    <w:rPr>
                      <w:rFonts w:ascii="Arial" w:hAnsi="Arial" w:cs="Arial"/>
                      <w:sz w:val="28"/>
                      <w:szCs w:val="28"/>
                    </w:rPr>
                  </w:pPr>
                  <w:r>
                    <w:rPr>
                      <w:rFonts w:ascii="Arial" w:hAnsi="宋体" w:cs="Arial"/>
                      <w:szCs w:val="21"/>
                    </w:rPr>
                    <w:t>半年</w:t>
                  </w:r>
                </w:p>
              </w:tc>
              <w:tc>
                <w:tcPr>
                  <w:tcW w:w="2699" w:type="dxa"/>
                  <w:noWrap w:val="0"/>
                  <w:vAlign w:val="top"/>
                </w:tcPr>
                <w:p>
                  <w:pPr>
                    <w:rPr>
                      <w:rFonts w:ascii="Arial" w:hAnsi="Arial" w:cs="Arial"/>
                      <w:sz w:val="21"/>
                      <w:szCs w:val="21"/>
                    </w:rPr>
                  </w:pPr>
                  <w:r>
                    <w:rPr>
                      <w:rFonts w:ascii="Arial" w:hAnsi="Arial" w:cs="Arial"/>
                      <w:sz w:val="21"/>
                      <w:szCs w:val="21"/>
                    </w:rPr>
                    <w:t>1.</w:t>
                  </w:r>
                  <w:r>
                    <w:rPr>
                      <w:rFonts w:ascii="Arial" w:hAnsi="宋体" w:cs="Arial"/>
                      <w:sz w:val="21"/>
                      <w:szCs w:val="21"/>
                    </w:rPr>
                    <w:t>培训计划及时完成率</w:t>
                  </w:r>
                  <w:r>
                    <w:rPr>
                      <w:rFonts w:ascii="Arial" w:hAnsi="Arial" w:cs="Arial"/>
                      <w:sz w:val="21"/>
                      <w:szCs w:val="21"/>
                    </w:rPr>
                    <w:t xml:space="preserve">100% </w:t>
                  </w:r>
                </w:p>
                <w:p>
                  <w:pPr>
                    <w:rPr>
                      <w:rFonts w:ascii="Arial" w:hAnsi="Arial" w:cs="Arial"/>
                      <w:sz w:val="21"/>
                      <w:szCs w:val="21"/>
                    </w:rPr>
                  </w:pPr>
                  <w:r>
                    <w:rPr>
                      <w:rFonts w:ascii="Arial" w:hAnsi="Arial" w:cs="Arial"/>
                      <w:sz w:val="21"/>
                      <w:szCs w:val="21"/>
                    </w:rPr>
                    <w:t>2.</w:t>
                  </w:r>
                  <w:r>
                    <w:rPr>
                      <w:rFonts w:hint="eastAsia" w:ascii="Arial" w:hAnsi="宋体" w:cs="Arial"/>
                      <w:sz w:val="21"/>
                      <w:szCs w:val="21"/>
                    </w:rPr>
                    <w:t>固体废弃物（含危废）有效处置率9</w:t>
                  </w:r>
                  <w:r>
                    <w:rPr>
                      <w:rFonts w:hint="eastAsia" w:ascii="Arial" w:hAnsi="宋体" w:cs="Arial"/>
                      <w:sz w:val="21"/>
                      <w:szCs w:val="21"/>
                      <w:lang w:val="en-US" w:eastAsia="zh-CN"/>
                    </w:rPr>
                    <w:t>8</w:t>
                  </w:r>
                  <w:r>
                    <w:rPr>
                      <w:rFonts w:hint="eastAsia" w:ascii="Arial" w:hAnsi="宋体" w:cs="Arial"/>
                      <w:sz w:val="21"/>
                      <w:szCs w:val="21"/>
                    </w:rPr>
                    <w:t>%</w:t>
                  </w:r>
                </w:p>
                <w:p>
                  <w:pPr>
                    <w:rPr>
                      <w:rFonts w:hint="eastAsia" w:ascii="宋体" w:hAnsi="宋体" w:eastAsia="宋体" w:cs="宋体"/>
                      <w:sz w:val="21"/>
                      <w:szCs w:val="21"/>
                      <w:lang w:val="en-US" w:eastAsia="zh-CN"/>
                    </w:rPr>
                  </w:pPr>
                  <w:r>
                    <w:rPr>
                      <w:rFonts w:ascii="Arial" w:hAnsi="Arial" w:cs="Arial"/>
                      <w:sz w:val="21"/>
                      <w:szCs w:val="21"/>
                    </w:rPr>
                    <w:t>3.</w:t>
                  </w:r>
                  <w:r>
                    <w:rPr>
                      <w:rFonts w:hint="eastAsia" w:ascii="Arial" w:hAnsi="宋体" w:cs="Arial"/>
                      <w:sz w:val="21"/>
                      <w:szCs w:val="21"/>
                    </w:rPr>
                    <w:t>火灾爆炸事故为0</w:t>
                  </w:r>
                </w:p>
                <w:p>
                  <w:pPr>
                    <w:rPr>
                      <w:rFonts w:ascii="Arial" w:hAnsi="Arial" w:cs="Arial"/>
                      <w:sz w:val="24"/>
                    </w:rPr>
                  </w:pPr>
                </w:p>
              </w:tc>
              <w:tc>
                <w:tcPr>
                  <w:tcW w:w="1204" w:type="dxa"/>
                  <w:noWrap w:val="0"/>
                  <w:vAlign w:val="top"/>
                </w:tcPr>
                <w:p>
                  <w:pPr>
                    <w:jc w:val="center"/>
                    <w:rPr>
                      <w:rFonts w:ascii="Arial" w:hAnsi="Arial" w:cs="Arial"/>
                      <w:sz w:val="24"/>
                    </w:rPr>
                  </w:pPr>
                  <w:r>
                    <w:rPr>
                      <w:rFonts w:ascii="Arial" w:hAnsi="宋体" w:cs="Arial"/>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trPr>
              <w:tc>
                <w:tcPr>
                  <w:tcW w:w="821" w:type="dxa"/>
                  <w:noWrap w:val="0"/>
                  <w:vAlign w:val="top"/>
                </w:tcPr>
                <w:p>
                  <w:pPr>
                    <w:rPr>
                      <w:rFonts w:hint="eastAsia" w:ascii="Arial" w:hAnsi="Arial" w:eastAsia="宋体" w:cs="Arial"/>
                      <w:sz w:val="24"/>
                      <w:lang w:eastAsia="zh-CN"/>
                    </w:rPr>
                  </w:pPr>
                  <w:r>
                    <w:rPr>
                      <w:rFonts w:hint="eastAsia" w:ascii="Arial" w:hAnsi="宋体" w:cs="Arial"/>
                      <w:sz w:val="24"/>
                      <w:lang w:eastAsia="zh-CN"/>
                    </w:rPr>
                    <w:t>技术部</w:t>
                  </w:r>
                </w:p>
              </w:tc>
              <w:tc>
                <w:tcPr>
                  <w:tcW w:w="2622" w:type="dxa"/>
                  <w:noWrap w:val="0"/>
                  <w:vAlign w:val="top"/>
                </w:tcPr>
                <w:p>
                  <w:pPr>
                    <w:rPr>
                      <w:rFonts w:hint="eastAsia" w:ascii="Arial" w:hAnsi="宋体" w:cs="Arial"/>
                      <w:szCs w:val="21"/>
                    </w:rPr>
                  </w:pPr>
                  <w:r>
                    <w:rPr>
                      <w:rFonts w:hint="eastAsia" w:ascii="Arial" w:hAnsi="宋体" w:cs="Arial"/>
                      <w:szCs w:val="21"/>
                      <w:lang w:val="en-US" w:eastAsia="zh-CN"/>
                    </w:rPr>
                    <w:t>1.</w:t>
                  </w:r>
                  <w:r>
                    <w:rPr>
                      <w:rFonts w:hint="eastAsia" w:ascii="Arial" w:hAnsi="宋体" w:cs="Arial"/>
                      <w:szCs w:val="21"/>
                      <w:lang w:eastAsia="zh-CN"/>
                    </w:rPr>
                    <w:t>技术服务合格率</w:t>
                  </w:r>
                  <w:r>
                    <w:rPr>
                      <w:rFonts w:hint="eastAsia" w:ascii="Arial" w:hAnsi="宋体" w:cs="Arial"/>
                      <w:szCs w:val="21"/>
                      <w:lang w:val="en-US" w:eastAsia="zh-CN"/>
                    </w:rPr>
                    <w:t>100%</w:t>
                  </w:r>
                  <w:r>
                    <w:rPr>
                      <w:rFonts w:hint="eastAsia" w:ascii="Arial" w:hAnsi="宋体" w:cs="Arial"/>
                      <w:szCs w:val="21"/>
                    </w:rPr>
                    <w:t>；</w:t>
                  </w:r>
                </w:p>
                <w:p>
                  <w:pPr>
                    <w:rPr>
                      <w:rFonts w:hint="eastAsia" w:ascii="Arial" w:hAnsi="宋体" w:cs="Arial"/>
                      <w:szCs w:val="21"/>
                    </w:rPr>
                  </w:pPr>
                  <w:r>
                    <w:rPr>
                      <w:rFonts w:hint="eastAsia" w:ascii="Arial" w:hAnsi="宋体" w:cs="Arial"/>
                      <w:szCs w:val="21"/>
                      <w:lang w:val="en-US" w:eastAsia="zh-CN"/>
                    </w:rPr>
                    <w:t>2</w:t>
                  </w:r>
                  <w:r>
                    <w:rPr>
                      <w:rFonts w:hint="eastAsia" w:ascii="Arial" w:hAnsi="宋体" w:cs="Arial"/>
                      <w:szCs w:val="21"/>
                    </w:rPr>
                    <w:t>.固体废弃物（含危废）有效处置率≥95%</w:t>
                  </w:r>
                </w:p>
                <w:p>
                  <w:pPr>
                    <w:rPr>
                      <w:rFonts w:hint="eastAsia" w:ascii="宋体" w:hAnsi="宋体" w:eastAsia="宋体" w:cs="宋体"/>
                      <w:sz w:val="24"/>
                      <w:szCs w:val="24"/>
                      <w:lang w:val="en-US" w:eastAsia="zh-CN"/>
                    </w:rPr>
                  </w:pPr>
                </w:p>
              </w:tc>
              <w:tc>
                <w:tcPr>
                  <w:tcW w:w="2385" w:type="dxa"/>
                  <w:noWrap w:val="0"/>
                  <w:vAlign w:val="top"/>
                </w:tcPr>
                <w:p>
                  <w:pPr>
                    <w:rPr>
                      <w:rFonts w:ascii="Arial" w:hAnsi="Arial" w:cs="Arial"/>
                      <w:szCs w:val="21"/>
                    </w:rPr>
                  </w:pPr>
                  <w:r>
                    <w:rPr>
                      <w:rFonts w:ascii="Arial" w:hAnsi="Arial" w:cs="Arial"/>
                      <w:szCs w:val="21"/>
                    </w:rPr>
                    <w:t>1.</w:t>
                  </w:r>
                  <w:r>
                    <w:rPr>
                      <w:rFonts w:hint="eastAsia" w:ascii="Arial" w:hAnsi="Arial" w:cs="Arial"/>
                      <w:szCs w:val="21"/>
                      <w:lang w:val="en-US" w:eastAsia="zh-CN"/>
                    </w:rPr>
                    <w:t>技术服务合格数/技术服务总数</w:t>
                  </w:r>
                  <w:r>
                    <w:rPr>
                      <w:rFonts w:ascii="Arial" w:hAnsi="Arial" w:cs="Arial"/>
                      <w:szCs w:val="21"/>
                    </w:rPr>
                    <w:t>×100%</w:t>
                  </w:r>
                </w:p>
                <w:p>
                  <w:pPr>
                    <w:rPr>
                      <w:rFonts w:ascii="Arial" w:hAnsi="Arial" w:cs="Arial"/>
                      <w:szCs w:val="21"/>
                    </w:rPr>
                  </w:pPr>
                  <w:r>
                    <w:rPr>
                      <w:rFonts w:hint="eastAsia" w:ascii="Arial" w:hAnsi="Arial" w:cs="Arial"/>
                      <w:szCs w:val="21"/>
                      <w:lang w:val="en-US" w:eastAsia="zh-CN"/>
                    </w:rPr>
                    <w:t>2</w:t>
                  </w:r>
                  <w:r>
                    <w:rPr>
                      <w:rFonts w:ascii="Arial" w:hAnsi="Arial" w:cs="Arial"/>
                      <w:szCs w:val="21"/>
                    </w:rPr>
                    <w:t>.</w:t>
                  </w:r>
                  <w:r>
                    <w:rPr>
                      <w:rFonts w:ascii="Arial" w:hAnsi="宋体" w:cs="Arial"/>
                      <w:szCs w:val="21"/>
                    </w:rPr>
                    <w:t>环境日常监视测量记录显示的固体分类收集符合性</w:t>
                  </w:r>
                </w:p>
              </w:tc>
              <w:tc>
                <w:tcPr>
                  <w:tcW w:w="421" w:type="dxa"/>
                  <w:noWrap w:val="0"/>
                  <w:vAlign w:val="top"/>
                </w:tcPr>
                <w:p>
                  <w:pPr>
                    <w:tabs>
                      <w:tab w:val="left" w:pos="5620"/>
                    </w:tabs>
                    <w:jc w:val="left"/>
                    <w:outlineLvl w:val="0"/>
                    <w:rPr>
                      <w:rFonts w:ascii="Arial" w:hAnsi="Arial" w:cs="Arial"/>
                      <w:szCs w:val="21"/>
                    </w:rPr>
                  </w:pPr>
                  <w:r>
                    <w:rPr>
                      <w:rFonts w:ascii="Arial" w:hAnsi="宋体" w:cs="Arial"/>
                      <w:szCs w:val="21"/>
                    </w:rPr>
                    <w:t>半年</w:t>
                  </w:r>
                </w:p>
              </w:tc>
              <w:tc>
                <w:tcPr>
                  <w:tcW w:w="2699" w:type="dxa"/>
                  <w:noWrap w:val="0"/>
                  <w:vAlign w:val="top"/>
                </w:tcPr>
                <w:p>
                  <w:pPr>
                    <w:rPr>
                      <w:rFonts w:hint="eastAsia" w:ascii="Arial" w:hAnsi="宋体" w:cs="Arial"/>
                      <w:szCs w:val="21"/>
                    </w:rPr>
                  </w:pPr>
                  <w:r>
                    <w:rPr>
                      <w:rFonts w:hint="eastAsia" w:ascii="Arial" w:hAnsi="宋体" w:cs="Arial"/>
                      <w:szCs w:val="21"/>
                      <w:lang w:val="en-US" w:eastAsia="zh-CN"/>
                    </w:rPr>
                    <w:t>1.</w:t>
                  </w:r>
                  <w:r>
                    <w:rPr>
                      <w:rFonts w:hint="eastAsia" w:ascii="Arial" w:hAnsi="宋体" w:cs="Arial"/>
                      <w:szCs w:val="21"/>
                      <w:lang w:eastAsia="zh-CN"/>
                    </w:rPr>
                    <w:t>技术服务合格率</w:t>
                  </w:r>
                  <w:r>
                    <w:rPr>
                      <w:rFonts w:hint="eastAsia" w:ascii="Arial" w:hAnsi="宋体" w:cs="Arial"/>
                      <w:szCs w:val="21"/>
                      <w:lang w:val="en-US" w:eastAsia="zh-CN"/>
                    </w:rPr>
                    <w:t>100%</w:t>
                  </w:r>
                  <w:r>
                    <w:rPr>
                      <w:rFonts w:hint="eastAsia" w:ascii="Arial" w:hAnsi="宋体" w:cs="Arial"/>
                      <w:szCs w:val="21"/>
                      <w:lang w:eastAsia="zh-CN"/>
                    </w:rPr>
                    <w:t>；</w:t>
                  </w:r>
                </w:p>
                <w:p>
                  <w:pPr>
                    <w:rPr>
                      <w:rFonts w:hint="eastAsia" w:ascii="Arial" w:hAnsi="宋体" w:cs="Arial"/>
                      <w:szCs w:val="21"/>
                    </w:rPr>
                  </w:pPr>
                  <w:r>
                    <w:rPr>
                      <w:rFonts w:hint="eastAsia" w:ascii="Arial" w:hAnsi="宋体" w:cs="Arial"/>
                      <w:szCs w:val="21"/>
                      <w:lang w:val="en-US" w:eastAsia="zh-CN"/>
                    </w:rPr>
                    <w:t>2</w:t>
                  </w:r>
                  <w:r>
                    <w:rPr>
                      <w:rFonts w:hint="eastAsia" w:ascii="Arial" w:hAnsi="宋体" w:cs="Arial"/>
                      <w:szCs w:val="21"/>
                    </w:rPr>
                    <w:t>.固体废弃物（含危废）有效处置率9</w:t>
                  </w:r>
                  <w:r>
                    <w:rPr>
                      <w:rFonts w:hint="eastAsia" w:ascii="Arial" w:hAnsi="宋体" w:cs="Arial"/>
                      <w:szCs w:val="21"/>
                      <w:lang w:val="en-US" w:eastAsia="zh-CN"/>
                    </w:rPr>
                    <w:t>8</w:t>
                  </w:r>
                  <w:r>
                    <w:rPr>
                      <w:rFonts w:hint="eastAsia" w:ascii="Arial" w:hAnsi="宋体" w:cs="Arial"/>
                      <w:szCs w:val="21"/>
                    </w:rPr>
                    <w:t>%</w:t>
                  </w:r>
                </w:p>
                <w:p>
                  <w:pPr>
                    <w:rPr>
                      <w:rFonts w:ascii="Arial" w:hAnsi="Arial" w:cs="Arial"/>
                      <w:szCs w:val="21"/>
                    </w:rPr>
                  </w:pPr>
                </w:p>
              </w:tc>
              <w:tc>
                <w:tcPr>
                  <w:tcW w:w="1204" w:type="dxa"/>
                  <w:noWrap w:val="0"/>
                  <w:vAlign w:val="top"/>
                </w:tcPr>
                <w:p>
                  <w:pPr>
                    <w:jc w:val="center"/>
                    <w:rPr>
                      <w:rFonts w:ascii="Arial" w:hAnsi="Arial" w:cs="Arial"/>
                      <w:sz w:val="24"/>
                    </w:rPr>
                  </w:pPr>
                  <w:r>
                    <w:rPr>
                      <w:rFonts w:ascii="Arial" w:hAnsi="宋体" w:cs="Arial"/>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noWrap w:val="0"/>
                  <w:vAlign w:val="top"/>
                </w:tcPr>
                <w:p>
                  <w:pPr>
                    <w:rPr>
                      <w:rFonts w:hint="eastAsia" w:ascii="Arial" w:hAnsi="Arial" w:eastAsia="宋体" w:cs="Arial"/>
                      <w:sz w:val="24"/>
                      <w:lang w:eastAsia="zh-CN"/>
                    </w:rPr>
                  </w:pPr>
                  <w:r>
                    <w:rPr>
                      <w:rFonts w:hint="eastAsia" w:ascii="Arial" w:hAnsi="宋体" w:cs="Arial"/>
                      <w:sz w:val="24"/>
                      <w:lang w:eastAsia="zh-CN"/>
                    </w:rPr>
                    <w:t>市场部</w:t>
                  </w:r>
                </w:p>
              </w:tc>
              <w:tc>
                <w:tcPr>
                  <w:tcW w:w="2622" w:type="dxa"/>
                  <w:noWrap w:val="0"/>
                  <w:vAlign w:val="top"/>
                </w:tcPr>
                <w:p>
                  <w:pPr>
                    <w:tabs>
                      <w:tab w:val="left" w:pos="5620"/>
                    </w:tabs>
                    <w:jc w:val="left"/>
                    <w:outlineLvl w:val="0"/>
                    <w:rPr>
                      <w:rFonts w:ascii="Arial" w:hAnsi="Arial" w:cs="Arial"/>
                      <w:sz w:val="21"/>
                      <w:szCs w:val="21"/>
                    </w:rPr>
                  </w:pPr>
                  <w:r>
                    <w:rPr>
                      <w:rFonts w:ascii="Arial" w:hAnsi="Arial" w:cs="Arial"/>
                      <w:sz w:val="21"/>
                      <w:szCs w:val="21"/>
                    </w:rPr>
                    <w:t>1.</w:t>
                  </w:r>
                  <w:r>
                    <w:rPr>
                      <w:rFonts w:hint="eastAsia" w:ascii="宋体" w:hAnsi="宋体"/>
                      <w:sz w:val="21"/>
                      <w:szCs w:val="21"/>
                      <w:lang w:eastAsia="zh-CN"/>
                    </w:rPr>
                    <w:t>客户</w:t>
                  </w:r>
                  <w:r>
                    <w:rPr>
                      <w:rFonts w:hint="eastAsia" w:ascii="宋体" w:hAnsi="宋体"/>
                      <w:sz w:val="21"/>
                      <w:szCs w:val="21"/>
                    </w:rPr>
                    <w:t>满意</w:t>
                  </w:r>
                  <w:r>
                    <w:rPr>
                      <w:rFonts w:hint="eastAsia" w:ascii="宋体" w:hAnsi="宋体"/>
                      <w:sz w:val="21"/>
                      <w:szCs w:val="21"/>
                      <w:lang w:eastAsia="zh-CN"/>
                    </w:rPr>
                    <w:t>度</w:t>
                  </w:r>
                  <w:r>
                    <w:rPr>
                      <w:rFonts w:hint="eastAsia" w:ascii="宋体" w:hAnsi="宋体"/>
                      <w:sz w:val="21"/>
                      <w:szCs w:val="21"/>
                      <w:lang w:val="en-US" w:eastAsia="zh-CN"/>
                    </w:rPr>
                    <w:t>90分以上</w:t>
                  </w:r>
                  <w:r>
                    <w:rPr>
                      <w:rFonts w:ascii="Arial" w:hAnsi="宋体" w:cs="Arial"/>
                      <w:sz w:val="21"/>
                      <w:szCs w:val="21"/>
                    </w:rPr>
                    <w:t>；</w:t>
                  </w:r>
                </w:p>
                <w:p>
                  <w:pPr>
                    <w:tabs>
                      <w:tab w:val="left" w:pos="5620"/>
                    </w:tabs>
                    <w:jc w:val="left"/>
                    <w:outlineLvl w:val="0"/>
                    <w:rPr>
                      <w:rFonts w:ascii="Arial" w:hAnsi="Arial" w:cs="Arial"/>
                      <w:sz w:val="21"/>
                      <w:szCs w:val="21"/>
                    </w:rPr>
                  </w:pPr>
                  <w:r>
                    <w:rPr>
                      <w:rFonts w:ascii="Arial" w:hAnsi="Arial" w:cs="Arial"/>
                      <w:sz w:val="21"/>
                      <w:szCs w:val="21"/>
                    </w:rPr>
                    <w:t>2.</w:t>
                  </w:r>
                  <w:r>
                    <w:rPr>
                      <w:rFonts w:ascii="Arial" w:hAnsi="宋体" w:cs="Arial"/>
                      <w:sz w:val="21"/>
                      <w:szCs w:val="21"/>
                    </w:rPr>
                    <w:t>客户反馈处理率</w:t>
                  </w:r>
                  <w:r>
                    <w:rPr>
                      <w:rFonts w:ascii="Arial" w:hAnsi="Arial" w:cs="Arial"/>
                      <w:sz w:val="21"/>
                      <w:szCs w:val="21"/>
                    </w:rPr>
                    <w:t>100%</w:t>
                  </w:r>
                </w:p>
                <w:p>
                  <w:pPr>
                    <w:tabs>
                      <w:tab w:val="left" w:pos="5620"/>
                    </w:tabs>
                    <w:jc w:val="left"/>
                    <w:outlineLvl w:val="0"/>
                    <w:rPr>
                      <w:rFonts w:hint="eastAsia" w:ascii="宋体" w:hAnsi="宋体" w:eastAsia="宋体" w:cs="宋体"/>
                      <w:sz w:val="21"/>
                      <w:szCs w:val="21"/>
                      <w:lang w:val="en-US" w:eastAsia="zh-CN"/>
                    </w:rPr>
                  </w:pPr>
                  <w:r>
                    <w:rPr>
                      <w:rFonts w:ascii="Arial" w:hAnsi="Arial" w:cs="Arial"/>
                      <w:sz w:val="21"/>
                      <w:szCs w:val="21"/>
                    </w:rPr>
                    <w:t>3.</w:t>
                  </w:r>
                  <w:r>
                    <w:rPr>
                      <w:rFonts w:hint="eastAsia" w:ascii="宋体" w:hAnsi="宋体" w:eastAsia="宋体" w:cs="宋体"/>
                      <w:sz w:val="21"/>
                      <w:szCs w:val="21"/>
                    </w:rPr>
                    <w:t>火灾、触电事故</w:t>
                  </w:r>
                  <w:r>
                    <w:rPr>
                      <w:rFonts w:hint="eastAsia" w:ascii="宋体" w:hAnsi="宋体" w:eastAsia="宋体" w:cs="宋体"/>
                      <w:sz w:val="21"/>
                      <w:szCs w:val="21"/>
                      <w:lang w:eastAsia="zh-CN"/>
                    </w:rPr>
                    <w:t>为</w:t>
                  </w:r>
                  <w:r>
                    <w:rPr>
                      <w:rFonts w:hint="eastAsia" w:ascii="宋体" w:hAnsi="宋体" w:eastAsia="宋体" w:cs="宋体"/>
                      <w:sz w:val="21"/>
                      <w:szCs w:val="21"/>
                      <w:lang w:val="en-US" w:eastAsia="zh-CN"/>
                    </w:rPr>
                    <w:t>0</w:t>
                  </w:r>
                </w:p>
                <w:p>
                  <w:pPr>
                    <w:tabs>
                      <w:tab w:val="left" w:pos="5620"/>
                    </w:tabs>
                    <w:jc w:val="left"/>
                    <w:outlineLvl w:val="0"/>
                    <w:rPr>
                      <w:rFonts w:hint="eastAsia" w:ascii="宋体" w:hAnsi="宋体" w:eastAsia="宋体" w:cs="宋体"/>
                      <w:sz w:val="24"/>
                      <w:szCs w:val="24"/>
                      <w:lang w:val="en-US" w:eastAsia="zh-CN"/>
                    </w:rPr>
                  </w:pPr>
                </w:p>
              </w:tc>
              <w:tc>
                <w:tcPr>
                  <w:tcW w:w="2385" w:type="dxa"/>
                  <w:noWrap w:val="0"/>
                  <w:vAlign w:val="top"/>
                </w:tcPr>
                <w:p>
                  <w:pPr>
                    <w:tabs>
                      <w:tab w:val="left" w:pos="5620"/>
                    </w:tabs>
                    <w:jc w:val="left"/>
                    <w:outlineLvl w:val="0"/>
                    <w:rPr>
                      <w:rFonts w:ascii="Arial" w:hAnsi="Arial" w:cs="Arial"/>
                      <w:szCs w:val="21"/>
                    </w:rPr>
                  </w:pPr>
                  <w:r>
                    <w:rPr>
                      <w:rFonts w:ascii="Arial" w:hAnsi="Arial" w:cs="Arial"/>
                      <w:szCs w:val="21"/>
                    </w:rPr>
                    <w:t>1.</w:t>
                  </w:r>
                  <w:r>
                    <w:rPr>
                      <w:rFonts w:ascii="Arial" w:hAnsi="宋体" w:cs="Arial"/>
                      <w:szCs w:val="21"/>
                    </w:rPr>
                    <w:t>（得分</w:t>
                  </w:r>
                  <w:r>
                    <w:rPr>
                      <w:rFonts w:ascii="Arial" w:hAnsi="Arial" w:cs="Arial"/>
                      <w:szCs w:val="21"/>
                    </w:rPr>
                    <w:t>×</w:t>
                  </w:r>
                  <w:r>
                    <w:rPr>
                      <w:rFonts w:ascii="Arial" w:hAnsi="宋体" w:cs="Arial"/>
                      <w:szCs w:val="21"/>
                    </w:rPr>
                    <w:t>质量加权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价格加权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交付加权</w:t>
                  </w:r>
                  <w:r>
                    <w:rPr>
                      <w:rFonts w:ascii="Arial" w:hAnsi="Arial" w:cs="Arial"/>
                      <w:szCs w:val="21"/>
                    </w:rPr>
                    <w:t>+</w:t>
                  </w:r>
                  <w:r>
                    <w:rPr>
                      <w:rFonts w:ascii="Arial" w:hAnsi="宋体" w:cs="Arial"/>
                      <w:szCs w:val="21"/>
                    </w:rPr>
                    <w:t>得分</w:t>
                  </w:r>
                  <w:r>
                    <w:rPr>
                      <w:rFonts w:ascii="Arial" w:hAnsi="Arial" w:cs="Arial"/>
                      <w:szCs w:val="21"/>
                    </w:rPr>
                    <w:t>×</w:t>
                  </w:r>
                  <w:r>
                    <w:rPr>
                      <w:rFonts w:ascii="Arial" w:hAnsi="宋体" w:cs="Arial"/>
                      <w:szCs w:val="21"/>
                    </w:rPr>
                    <w:t>服务加权）</w:t>
                  </w:r>
                  <w:r>
                    <w:rPr>
                      <w:rFonts w:ascii="Arial" w:hAnsi="Arial" w:cs="Arial"/>
                      <w:szCs w:val="21"/>
                    </w:rPr>
                    <w:t>/</w:t>
                  </w:r>
                  <w:r>
                    <w:rPr>
                      <w:rFonts w:ascii="Arial" w:hAnsi="宋体" w:cs="Arial"/>
                      <w:szCs w:val="21"/>
                    </w:rPr>
                    <w:t>加权总数</w:t>
                  </w:r>
                  <w:r>
                    <w:rPr>
                      <w:rFonts w:ascii="Arial" w:hAnsi="Arial" w:cs="Arial"/>
                      <w:szCs w:val="21"/>
                    </w:rPr>
                    <w:t>×100%</w:t>
                  </w:r>
                </w:p>
                <w:p>
                  <w:pPr>
                    <w:tabs>
                      <w:tab w:val="left" w:pos="5620"/>
                    </w:tabs>
                    <w:jc w:val="left"/>
                    <w:outlineLvl w:val="0"/>
                    <w:rPr>
                      <w:rFonts w:ascii="Arial" w:hAnsi="Arial" w:cs="Arial"/>
                      <w:szCs w:val="21"/>
                    </w:rPr>
                  </w:pPr>
                  <w:r>
                    <w:rPr>
                      <w:rFonts w:ascii="Arial" w:hAnsi="Arial" w:cs="Arial"/>
                      <w:szCs w:val="21"/>
                    </w:rPr>
                    <w:t>2.</w:t>
                  </w:r>
                  <w:r>
                    <w:rPr>
                      <w:rFonts w:ascii="Arial" w:hAnsi="宋体" w:cs="Arial"/>
                      <w:szCs w:val="21"/>
                    </w:rPr>
                    <w:t>客户反馈问题处理次数</w:t>
                  </w:r>
                  <w:r>
                    <w:rPr>
                      <w:rFonts w:ascii="Arial" w:hAnsi="Arial" w:cs="Arial"/>
                      <w:szCs w:val="21"/>
                    </w:rPr>
                    <w:t>/</w:t>
                  </w:r>
                  <w:r>
                    <w:rPr>
                      <w:rFonts w:ascii="Arial" w:hAnsi="宋体" w:cs="Arial"/>
                      <w:szCs w:val="21"/>
                    </w:rPr>
                    <w:t>客户反馈问题总数</w:t>
                  </w:r>
                  <w:r>
                    <w:rPr>
                      <w:rFonts w:ascii="Arial" w:hAnsi="Arial" w:cs="Arial"/>
                      <w:szCs w:val="21"/>
                    </w:rPr>
                    <w:t>×100%</w:t>
                  </w:r>
                </w:p>
                <w:p>
                  <w:pPr>
                    <w:tabs>
                      <w:tab w:val="left" w:pos="5620"/>
                    </w:tabs>
                    <w:jc w:val="left"/>
                    <w:outlineLvl w:val="0"/>
                    <w:rPr>
                      <w:rFonts w:ascii="Arial" w:hAnsi="Arial" w:cs="Arial"/>
                      <w:szCs w:val="21"/>
                    </w:rPr>
                  </w:pPr>
                  <w:r>
                    <w:rPr>
                      <w:rFonts w:ascii="Arial" w:hAnsi="Arial" w:cs="Arial"/>
                      <w:szCs w:val="21"/>
                    </w:rPr>
                    <w:t>3</w:t>
                  </w:r>
                  <w:r>
                    <w:rPr>
                      <w:rFonts w:hint="eastAsia" w:ascii="Arial" w:hAnsi="Arial" w:cs="Arial"/>
                      <w:szCs w:val="21"/>
                      <w:lang w:val="en-US" w:eastAsia="zh-CN"/>
                    </w:rPr>
                    <w:t>：为</w:t>
                  </w:r>
                  <w:r>
                    <w:rPr>
                      <w:rFonts w:ascii="Arial" w:hAnsi="宋体" w:cs="Arial"/>
                      <w:szCs w:val="21"/>
                    </w:rPr>
                    <w:t>实际发生次数</w:t>
                  </w:r>
                </w:p>
              </w:tc>
              <w:tc>
                <w:tcPr>
                  <w:tcW w:w="421" w:type="dxa"/>
                  <w:noWrap w:val="0"/>
                  <w:vAlign w:val="top"/>
                </w:tcPr>
                <w:p>
                  <w:pPr>
                    <w:tabs>
                      <w:tab w:val="left" w:pos="5620"/>
                    </w:tabs>
                    <w:jc w:val="left"/>
                    <w:outlineLvl w:val="0"/>
                    <w:rPr>
                      <w:rFonts w:ascii="Arial" w:hAnsi="Arial" w:cs="Arial"/>
                      <w:szCs w:val="21"/>
                    </w:rPr>
                  </w:pPr>
                  <w:r>
                    <w:rPr>
                      <w:rFonts w:ascii="Arial" w:hAnsi="宋体" w:cs="Arial"/>
                      <w:szCs w:val="21"/>
                    </w:rPr>
                    <w:t>半年</w:t>
                  </w:r>
                </w:p>
              </w:tc>
              <w:tc>
                <w:tcPr>
                  <w:tcW w:w="2699" w:type="dxa"/>
                  <w:noWrap w:val="0"/>
                  <w:vAlign w:val="top"/>
                </w:tcPr>
                <w:p>
                  <w:pPr>
                    <w:tabs>
                      <w:tab w:val="left" w:pos="5620"/>
                    </w:tabs>
                    <w:jc w:val="left"/>
                    <w:outlineLvl w:val="0"/>
                    <w:rPr>
                      <w:rFonts w:ascii="Arial" w:hAnsi="Arial" w:cs="Arial"/>
                      <w:sz w:val="21"/>
                      <w:szCs w:val="21"/>
                    </w:rPr>
                  </w:pPr>
                  <w:r>
                    <w:rPr>
                      <w:rFonts w:ascii="Arial" w:hAnsi="Arial" w:cs="Arial"/>
                      <w:szCs w:val="21"/>
                    </w:rPr>
                    <w:t>1</w:t>
                  </w:r>
                  <w:r>
                    <w:rPr>
                      <w:rFonts w:ascii="Arial" w:hAnsi="Arial" w:cs="Arial"/>
                      <w:sz w:val="21"/>
                      <w:szCs w:val="21"/>
                    </w:rPr>
                    <w:t>.</w:t>
                  </w:r>
                  <w:r>
                    <w:rPr>
                      <w:rFonts w:hint="eastAsia" w:ascii="宋体" w:hAnsi="宋体"/>
                      <w:sz w:val="21"/>
                      <w:szCs w:val="21"/>
                      <w:lang w:eastAsia="zh-CN"/>
                    </w:rPr>
                    <w:t>客户</w:t>
                  </w:r>
                  <w:r>
                    <w:rPr>
                      <w:rFonts w:hint="eastAsia" w:ascii="宋体" w:hAnsi="宋体"/>
                      <w:sz w:val="21"/>
                      <w:szCs w:val="21"/>
                    </w:rPr>
                    <w:t>满意</w:t>
                  </w:r>
                  <w:r>
                    <w:rPr>
                      <w:rFonts w:hint="eastAsia" w:ascii="宋体" w:hAnsi="宋体"/>
                      <w:sz w:val="21"/>
                      <w:szCs w:val="21"/>
                      <w:lang w:eastAsia="zh-CN"/>
                    </w:rPr>
                    <w:t>度</w:t>
                  </w:r>
                  <w:r>
                    <w:rPr>
                      <w:rFonts w:hint="eastAsia" w:ascii="宋体" w:hAnsi="宋体"/>
                      <w:sz w:val="21"/>
                      <w:szCs w:val="21"/>
                      <w:lang w:val="en-US" w:eastAsia="zh-CN"/>
                    </w:rPr>
                    <w:t>98.7分</w:t>
                  </w:r>
                  <w:r>
                    <w:rPr>
                      <w:rFonts w:ascii="Arial" w:hAnsi="宋体" w:cs="Arial"/>
                      <w:sz w:val="21"/>
                      <w:szCs w:val="21"/>
                    </w:rPr>
                    <w:t>；</w:t>
                  </w:r>
                </w:p>
                <w:p>
                  <w:pPr>
                    <w:tabs>
                      <w:tab w:val="left" w:pos="5620"/>
                    </w:tabs>
                    <w:jc w:val="left"/>
                    <w:outlineLvl w:val="0"/>
                    <w:rPr>
                      <w:rFonts w:ascii="Arial" w:hAnsi="Arial" w:cs="Arial"/>
                      <w:sz w:val="21"/>
                      <w:szCs w:val="21"/>
                    </w:rPr>
                  </w:pPr>
                  <w:r>
                    <w:rPr>
                      <w:rFonts w:ascii="Arial" w:hAnsi="Arial" w:cs="Arial"/>
                      <w:sz w:val="21"/>
                      <w:szCs w:val="21"/>
                    </w:rPr>
                    <w:t>2.</w:t>
                  </w:r>
                  <w:r>
                    <w:rPr>
                      <w:rFonts w:ascii="Arial" w:hAnsi="宋体" w:cs="Arial"/>
                      <w:sz w:val="21"/>
                      <w:szCs w:val="21"/>
                    </w:rPr>
                    <w:t>客户反馈处理率</w:t>
                  </w:r>
                  <w:r>
                    <w:rPr>
                      <w:rFonts w:ascii="Arial" w:hAnsi="Arial" w:cs="Arial"/>
                      <w:sz w:val="21"/>
                      <w:szCs w:val="21"/>
                    </w:rPr>
                    <w:t>100%</w:t>
                  </w:r>
                </w:p>
                <w:p>
                  <w:pPr>
                    <w:tabs>
                      <w:tab w:val="left" w:pos="5620"/>
                    </w:tabs>
                    <w:jc w:val="left"/>
                    <w:outlineLvl w:val="0"/>
                    <w:rPr>
                      <w:rFonts w:hint="eastAsia" w:ascii="宋体" w:hAnsi="宋体" w:eastAsia="宋体" w:cs="宋体"/>
                      <w:sz w:val="21"/>
                      <w:szCs w:val="21"/>
                      <w:lang w:val="en-US" w:eastAsia="zh-CN"/>
                    </w:rPr>
                  </w:pPr>
                  <w:r>
                    <w:rPr>
                      <w:rFonts w:ascii="Arial" w:hAnsi="Arial" w:cs="Arial"/>
                      <w:sz w:val="21"/>
                      <w:szCs w:val="21"/>
                    </w:rPr>
                    <w:t>3.</w:t>
                  </w:r>
                  <w:r>
                    <w:rPr>
                      <w:rFonts w:hint="eastAsia" w:ascii="宋体" w:hAnsi="宋体" w:eastAsia="宋体" w:cs="宋体"/>
                      <w:sz w:val="21"/>
                      <w:szCs w:val="21"/>
                    </w:rPr>
                    <w:t>火灾、触电事故</w:t>
                  </w:r>
                  <w:r>
                    <w:rPr>
                      <w:rFonts w:hint="eastAsia" w:ascii="宋体" w:hAnsi="宋体" w:eastAsia="宋体" w:cs="宋体"/>
                      <w:sz w:val="21"/>
                      <w:szCs w:val="21"/>
                      <w:lang w:eastAsia="zh-CN"/>
                    </w:rPr>
                    <w:t>为</w:t>
                  </w:r>
                  <w:r>
                    <w:rPr>
                      <w:rFonts w:hint="eastAsia" w:ascii="宋体" w:hAnsi="宋体" w:eastAsia="宋体" w:cs="宋体"/>
                      <w:sz w:val="21"/>
                      <w:szCs w:val="21"/>
                      <w:lang w:val="en-US" w:eastAsia="zh-CN"/>
                    </w:rPr>
                    <w:t>0</w:t>
                  </w:r>
                </w:p>
                <w:p>
                  <w:pPr>
                    <w:tabs>
                      <w:tab w:val="left" w:pos="5620"/>
                    </w:tabs>
                    <w:jc w:val="left"/>
                    <w:outlineLvl w:val="0"/>
                    <w:rPr>
                      <w:rFonts w:ascii="Arial" w:hAnsi="Arial" w:cs="Arial"/>
                      <w:szCs w:val="21"/>
                    </w:rPr>
                  </w:pPr>
                </w:p>
              </w:tc>
              <w:tc>
                <w:tcPr>
                  <w:tcW w:w="1204" w:type="dxa"/>
                  <w:noWrap w:val="0"/>
                  <w:vAlign w:val="top"/>
                </w:tcPr>
                <w:p>
                  <w:pPr>
                    <w:jc w:val="center"/>
                    <w:rPr>
                      <w:rFonts w:ascii="Arial" w:hAnsi="Arial" w:cs="Arial"/>
                      <w:szCs w:val="21"/>
                    </w:rPr>
                  </w:pPr>
                  <w:r>
                    <w:rPr>
                      <w:rFonts w:ascii="Arial" w:hAnsi="宋体" w:cs="Arial"/>
                      <w:szCs w:val="21"/>
                    </w:rPr>
                    <w:t>合格</w:t>
                  </w:r>
                </w:p>
              </w:tc>
            </w:tr>
          </w:tbl>
          <w:p>
            <w:pPr>
              <w:spacing w:line="360" w:lineRule="auto"/>
              <w:ind w:firstLine="1470" w:firstLineChars="700"/>
              <w:jc w:val="both"/>
              <w:rPr>
                <w:szCs w:val="22"/>
              </w:rPr>
            </w:pPr>
            <w:r>
              <w:rPr>
                <w:rFonts w:hint="eastAsia"/>
                <w:szCs w:val="22"/>
              </w:rPr>
              <w:t>编制：</w:t>
            </w:r>
            <w:r>
              <w:rPr>
                <w:rFonts w:hint="eastAsia" w:ascii="宋体" w:hAnsi="宋体" w:cs="宋体"/>
                <w:szCs w:val="21"/>
                <w:lang w:val="en-US" w:eastAsia="zh-CN"/>
              </w:rPr>
              <w:t>行政部</w:t>
            </w:r>
            <w:r>
              <w:rPr>
                <w:rFonts w:hint="eastAsia"/>
                <w:szCs w:val="22"/>
              </w:rPr>
              <w:t xml:space="preserve"> </w:t>
            </w:r>
            <w:r>
              <w:rPr>
                <w:rFonts w:hint="eastAsia"/>
                <w:szCs w:val="22"/>
                <w:lang w:val="en-US" w:eastAsia="zh-CN"/>
              </w:rPr>
              <w:t xml:space="preserve">         </w:t>
            </w:r>
            <w:r>
              <w:rPr>
                <w:rFonts w:hint="eastAsia"/>
                <w:szCs w:val="22"/>
              </w:rPr>
              <w:t>审核：</w:t>
            </w:r>
            <w:r>
              <w:rPr>
                <w:rFonts w:hint="eastAsia" w:ascii="宋体" w:hAnsi="宋体" w:cs="宋体"/>
                <w:szCs w:val="21"/>
                <w:lang w:val="en-US" w:eastAsia="zh-CN"/>
              </w:rPr>
              <w:t>罗锦霞</w:t>
            </w:r>
            <w:r>
              <w:rPr>
                <w:rFonts w:hint="eastAsia"/>
                <w:szCs w:val="22"/>
              </w:rPr>
              <w:t xml:space="preserve"> 　 </w:t>
            </w:r>
            <w:r>
              <w:rPr>
                <w:rFonts w:hint="eastAsia"/>
                <w:szCs w:val="22"/>
                <w:lang w:val="en-US" w:eastAsia="zh-CN"/>
              </w:rPr>
              <w:t xml:space="preserve">      </w:t>
            </w:r>
            <w:r>
              <w:rPr>
                <w:rFonts w:hint="eastAsia"/>
                <w:szCs w:val="22"/>
              </w:rPr>
              <w:t>批</w:t>
            </w:r>
            <w:r>
              <w:rPr>
                <w:rFonts w:hint="eastAsia" w:ascii="Times New Roman" w:hAnsi="Times New Roman" w:eastAsia="宋体" w:cs="Times New Roman"/>
                <w:szCs w:val="22"/>
              </w:rPr>
              <w:t>准：</w:t>
            </w:r>
            <w:r>
              <w:rPr>
                <w:rFonts w:hint="eastAsia" w:ascii="Times New Roman" w:hAnsi="Times New Roman" w:eastAsia="宋体" w:cs="Times New Roman"/>
                <w:szCs w:val="22"/>
                <w:lang w:val="en-US" w:eastAsia="zh-CN"/>
              </w:rPr>
              <w:t xml:space="preserve">周洪勇  </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5" w:hRule="atLeast"/>
        </w:trPr>
        <w:tc>
          <w:tcPr>
            <w:tcW w:w="1956" w:type="dxa"/>
          </w:tcPr>
          <w:p>
            <w:pPr>
              <w:rPr>
                <w:color w:val="000000" w:themeColor="text1"/>
                <w:szCs w:val="21"/>
              </w:rPr>
            </w:pPr>
          </w:p>
          <w:p>
            <w:pPr>
              <w:rPr>
                <w:color w:val="000000" w:themeColor="text1"/>
                <w:szCs w:val="21"/>
              </w:rPr>
            </w:pPr>
          </w:p>
          <w:p>
            <w:pPr>
              <w:pStyle w:val="2"/>
              <w:tabs>
                <w:tab w:val="left" w:pos="3510"/>
                <w:tab w:val="left" w:pos="3585"/>
                <w:tab w:val="center" w:pos="4410"/>
                <w:tab w:val="left" w:pos="4620"/>
                <w:tab w:val="left" w:pos="4830"/>
                <w:tab w:val="left" w:pos="5580"/>
              </w:tabs>
              <w:rPr>
                <w:color w:val="000000" w:themeColor="text1"/>
                <w:szCs w:val="21"/>
              </w:rPr>
            </w:pPr>
          </w:p>
          <w:p>
            <w:pPr>
              <w:pStyle w:val="3"/>
              <w:rPr>
                <w:color w:val="000000" w:themeColor="text1"/>
                <w:szCs w:val="21"/>
              </w:rPr>
            </w:pPr>
          </w:p>
          <w:p>
            <w:pPr>
              <w:pStyle w:val="3"/>
              <w:rPr>
                <w:color w:val="000000" w:themeColor="text1"/>
                <w:szCs w:val="21"/>
              </w:rPr>
            </w:pPr>
          </w:p>
          <w:p>
            <w:pPr>
              <w:pStyle w:val="3"/>
              <w:rPr>
                <w:color w:val="000000" w:themeColor="text1"/>
                <w:szCs w:val="21"/>
              </w:rPr>
            </w:pPr>
          </w:p>
          <w:p>
            <w:pPr>
              <w:rPr>
                <w:color w:val="000000" w:themeColor="text1"/>
              </w:rPr>
            </w:pPr>
            <w:r>
              <w:rPr>
                <w:rFonts w:hint="eastAsia"/>
                <w:color w:val="000000" w:themeColor="text1"/>
                <w:szCs w:val="21"/>
              </w:rPr>
              <w:t>人员、能力、培训</w:t>
            </w:r>
          </w:p>
        </w:tc>
        <w:tc>
          <w:tcPr>
            <w:tcW w:w="1164" w:type="dxa"/>
          </w:tcPr>
          <w:p>
            <w:pPr>
              <w:pStyle w:val="13"/>
              <w:rPr>
                <w:rFonts w:ascii="宋体" w:hAnsi="宋体" w:cs="新宋体"/>
                <w:color w:val="FF0000"/>
                <w:szCs w:val="21"/>
              </w:rPr>
            </w:pPr>
          </w:p>
          <w:p>
            <w:pPr>
              <w:pStyle w:val="13"/>
              <w:rPr>
                <w:rFonts w:hint="eastAsia" w:ascii="宋体" w:hAnsi="宋体" w:cs="新宋体"/>
                <w:color w:val="FF0000"/>
                <w:szCs w:val="21"/>
              </w:rPr>
            </w:pPr>
          </w:p>
          <w:p>
            <w:pPr>
              <w:pStyle w:val="13"/>
              <w:rPr>
                <w:rFonts w:hint="eastAsia" w:ascii="宋体" w:hAnsi="宋体" w:cs="新宋体"/>
                <w:color w:val="FF0000"/>
                <w:szCs w:val="21"/>
              </w:rPr>
            </w:pPr>
          </w:p>
          <w:p>
            <w:pPr>
              <w:pStyle w:val="13"/>
              <w:rPr>
                <w:rFonts w:hint="eastAsia" w:ascii="宋体" w:hAnsi="宋体" w:cs="新宋体"/>
                <w:color w:val="FF0000"/>
                <w:szCs w:val="21"/>
              </w:rPr>
            </w:pPr>
          </w:p>
          <w:p>
            <w:pPr>
              <w:pStyle w:val="13"/>
              <w:rPr>
                <w:rFonts w:hint="eastAsia" w:ascii="宋体" w:hAnsi="宋体" w:cs="新宋体"/>
                <w:color w:val="FF0000"/>
                <w:szCs w:val="21"/>
              </w:rPr>
            </w:pPr>
          </w:p>
          <w:p>
            <w:pPr>
              <w:rPr>
                <w:rFonts w:hint="eastAsia" w:ascii="宋体" w:hAnsi="宋体" w:eastAsia="宋体" w:cs="宋体"/>
                <w:kern w:val="0"/>
                <w:sz w:val="21"/>
                <w:szCs w:val="21"/>
              </w:rPr>
            </w:pPr>
            <w:r>
              <w:rPr>
                <w:rFonts w:hint="eastAsia" w:ascii="宋体" w:hAnsi="宋体" w:eastAsia="宋体" w:cs="宋体"/>
                <w:kern w:val="0"/>
                <w:sz w:val="21"/>
                <w:szCs w:val="21"/>
              </w:rPr>
              <w:t>Q：7.1.2</w:t>
            </w:r>
          </w:p>
          <w:p>
            <w:pPr>
              <w:rPr>
                <w:rFonts w:hint="eastAsia" w:ascii="宋体" w:hAnsi="宋体" w:eastAsia="宋体" w:cs="宋体"/>
                <w:kern w:val="0"/>
                <w:sz w:val="21"/>
                <w:szCs w:val="21"/>
              </w:rPr>
            </w:pPr>
            <w:r>
              <w:rPr>
                <w:rFonts w:hint="eastAsia" w:ascii="宋体" w:hAnsi="宋体" w:eastAsia="宋体" w:cs="宋体"/>
                <w:kern w:val="0"/>
                <w:sz w:val="21"/>
                <w:szCs w:val="21"/>
              </w:rPr>
              <w:t>EO：7.2，7.3</w:t>
            </w:r>
          </w:p>
          <w:p>
            <w:pPr>
              <w:pStyle w:val="13"/>
              <w:rPr>
                <w:rFonts w:ascii="宋体" w:hAnsi="宋体" w:cs="新宋体"/>
                <w:color w:val="FF0000"/>
                <w:szCs w:val="21"/>
              </w:rPr>
            </w:pPr>
          </w:p>
        </w:tc>
        <w:tc>
          <w:tcPr>
            <w:tcW w:w="11012" w:type="dxa"/>
          </w:tcPr>
          <w:p>
            <w:pPr>
              <w:spacing w:line="360" w:lineRule="auto"/>
              <w:jc w:val="left"/>
              <w:rPr>
                <w:color w:val="000000" w:themeColor="text1"/>
              </w:rPr>
            </w:pPr>
            <w:r>
              <w:rPr>
                <w:rFonts w:hint="eastAsia"/>
                <w:color w:val="000000" w:themeColor="text1"/>
              </w:rPr>
              <w:t>公司制定了《人力资源</w:t>
            </w:r>
            <w:r>
              <w:rPr>
                <w:rFonts w:hint="eastAsia"/>
                <w:color w:val="000000" w:themeColor="text1"/>
                <w:lang w:val="en-US" w:eastAsia="zh-CN"/>
              </w:rPr>
              <w:t>控制</w:t>
            </w:r>
            <w:r>
              <w:rPr>
                <w:rFonts w:hint="eastAsia"/>
                <w:color w:val="000000" w:themeColor="text1"/>
              </w:rPr>
              <w:t>程序》，通过培训和其他措施提高员工的能力，增强员工的质量、环境与职业健康安全管理的意识，并胜任其工作岗位。使员工满足所从事的质量、环境、职业健康安全工作对能力的要求。</w:t>
            </w:r>
          </w:p>
          <w:p>
            <w:pPr>
              <w:spacing w:line="360" w:lineRule="auto"/>
              <w:ind w:firstLine="420" w:firstLineChars="200"/>
              <w:jc w:val="left"/>
              <w:rPr>
                <w:color w:val="000000" w:themeColor="text1"/>
              </w:rPr>
            </w:pPr>
            <w:r>
              <w:rPr>
                <w:rFonts w:hint="eastAsia"/>
                <w:color w:val="000000" w:themeColor="text1"/>
              </w:rPr>
              <w:t>提供《岗位职责和任职要求》，对各部门领导层、</w:t>
            </w:r>
            <w:r>
              <w:rPr>
                <w:rFonts w:hint="eastAsia"/>
                <w:color w:val="000000" w:themeColor="text1"/>
                <w:lang w:val="en-US" w:eastAsia="zh-CN"/>
              </w:rPr>
              <w:t>行政部（财政部）</w:t>
            </w:r>
            <w:r>
              <w:rPr>
                <w:rFonts w:hint="eastAsia"/>
                <w:color w:val="000000" w:themeColor="text1"/>
              </w:rPr>
              <w:t>（成员）、</w:t>
            </w:r>
            <w:r>
              <w:rPr>
                <w:rFonts w:hint="eastAsia"/>
                <w:color w:val="000000" w:themeColor="text1"/>
                <w:lang w:val="en-US" w:eastAsia="zh-CN"/>
              </w:rPr>
              <w:t>计量检测人员</w:t>
            </w:r>
            <w:r>
              <w:rPr>
                <w:rFonts w:hint="eastAsia"/>
                <w:color w:val="000000" w:themeColor="text1"/>
              </w:rPr>
              <w:t>、</w:t>
            </w:r>
            <w:r>
              <w:rPr>
                <w:rFonts w:hint="eastAsia"/>
                <w:color w:val="000000" w:themeColor="text1"/>
                <w:lang w:val="en-US" w:eastAsia="zh-CN"/>
              </w:rPr>
              <w:t>质量技术部</w:t>
            </w:r>
            <w:r>
              <w:rPr>
                <w:rFonts w:hint="eastAsia"/>
                <w:color w:val="000000" w:themeColor="text1"/>
              </w:rPr>
              <w:t>、</w:t>
            </w:r>
            <w:r>
              <w:rPr>
                <w:rFonts w:hint="eastAsia"/>
                <w:color w:val="000000" w:themeColor="text1"/>
                <w:lang w:val="en-US" w:eastAsia="zh-CN"/>
              </w:rPr>
              <w:t>市场开发</w:t>
            </w:r>
            <w:r>
              <w:rPr>
                <w:rFonts w:hint="eastAsia"/>
                <w:color w:val="000000" w:themeColor="text1"/>
              </w:rPr>
              <w:t>部负责人岗位能力工作权限与内容、任职资格（经验知识个人素质、专业技能）的等作出了规定。</w:t>
            </w:r>
          </w:p>
          <w:p>
            <w:pPr>
              <w:spacing w:line="360" w:lineRule="auto"/>
              <w:ind w:firstLine="420" w:firstLineChars="200"/>
              <w:jc w:val="left"/>
              <w:rPr>
                <w:rFonts w:hint="eastAsia"/>
                <w:color w:val="000000" w:themeColor="text1"/>
              </w:rPr>
            </w:pPr>
            <w:r>
              <w:rPr>
                <w:rFonts w:hint="eastAsia"/>
                <w:color w:val="000000" w:themeColor="text1"/>
                <w:lang w:val="en-US" w:eastAsia="zh-CN"/>
              </w:rPr>
              <w:t>提供</w:t>
            </w:r>
            <w:r>
              <w:rPr>
                <w:rFonts w:hint="eastAsia"/>
                <w:color w:val="000000" w:themeColor="text1"/>
              </w:rPr>
              <w:t>《</w:t>
            </w:r>
            <w:r>
              <w:rPr>
                <w:rFonts w:hint="eastAsia"/>
                <w:color w:val="000000" w:themeColor="text1"/>
                <w:lang w:val="en-US" w:eastAsia="zh-CN"/>
              </w:rPr>
              <w:t>人员考核记录表</w:t>
            </w:r>
            <w:r>
              <w:rPr>
                <w:rFonts w:hint="eastAsia"/>
                <w:color w:val="000000" w:themeColor="text1"/>
              </w:rPr>
              <w:t>》，其中包括：总经理、管代、各部门负责人、</w:t>
            </w:r>
            <w:r>
              <w:rPr>
                <w:rFonts w:hint="eastAsia"/>
                <w:color w:val="000000" w:themeColor="text1"/>
                <w:lang w:val="en-US" w:eastAsia="zh-CN"/>
              </w:rPr>
              <w:t>专业计量人员</w:t>
            </w:r>
            <w:r>
              <w:rPr>
                <w:rFonts w:hint="eastAsia"/>
                <w:color w:val="000000" w:themeColor="text1"/>
              </w:rPr>
              <w:t>员、职业健康安全事务代表等。能够满足公司QEO管理体系运行以及体系覆盖产品生产和服务的需求。</w:t>
            </w:r>
          </w:p>
          <w:p>
            <w:pPr>
              <w:pStyle w:val="6"/>
              <w:bidi w:val="0"/>
              <w:spacing w:line="360" w:lineRule="auto"/>
              <w:rPr>
                <w:rFonts w:ascii="Times New Roman" w:hAnsi="Times New Roman"/>
                <w:color w:val="000000" w:themeColor="text1"/>
                <w:szCs w:val="21"/>
              </w:rPr>
            </w:pPr>
            <w:r>
              <w:rPr>
                <w:rFonts w:hint="eastAsia"/>
                <w:color w:val="000000" w:themeColor="text1"/>
              </w:rPr>
              <w:t>抽查：</w:t>
            </w:r>
            <w:r>
              <w:rPr>
                <w:rFonts w:hint="eastAsia"/>
                <w:color w:val="000000" w:themeColor="text1"/>
                <w:lang w:val="en-US" w:eastAsia="zh-CN"/>
              </w:rPr>
              <w:t>罗</w:t>
            </w:r>
            <w:r>
              <w:rPr>
                <w:rFonts w:hint="eastAsia" w:ascii="Times New Roman" w:hAnsi="Times New Roman" w:eastAsia="宋体" w:cs="Times New Roman"/>
                <w:color w:val="000000" w:themeColor="text1"/>
                <w:kern w:val="2"/>
                <w:sz w:val="21"/>
                <w:szCs w:val="22"/>
                <w:lang w:val="en-US" w:eastAsia="zh-CN" w:bidi="ar-SA"/>
              </w:rPr>
              <w:t>锦霞、唐浪、胡明飞等任职</w:t>
            </w:r>
            <w:r>
              <w:rPr>
                <w:rFonts w:hint="eastAsia"/>
                <w:color w:val="000000" w:themeColor="text1"/>
              </w:rPr>
              <w:t>人员，从业务知识、学习创新、</w:t>
            </w:r>
            <w:r>
              <w:rPr>
                <w:color w:val="000000" w:themeColor="text1"/>
              </w:rPr>
              <w:t>执行能力</w:t>
            </w:r>
            <w:r>
              <w:rPr>
                <w:rFonts w:hint="eastAsia"/>
                <w:color w:val="000000" w:themeColor="text1"/>
              </w:rPr>
              <w:t>、协同能力、工作效率等方面任职能力评价，综合评价：</w:t>
            </w:r>
            <w:r>
              <w:rPr>
                <w:rFonts w:hint="eastAsia" w:ascii="Times New Roman" w:hAnsi="Times New Roman"/>
                <w:color w:val="000000" w:themeColor="text1"/>
                <w:szCs w:val="21"/>
              </w:rPr>
              <w:t>各岗位人员均合格，能满足要求。</w:t>
            </w:r>
          </w:p>
          <w:p>
            <w:pPr>
              <w:pStyle w:val="6"/>
              <w:widowControl/>
              <w:spacing w:line="360" w:lineRule="auto"/>
              <w:ind w:firstLine="420" w:firstLineChars="200"/>
              <w:jc w:val="left"/>
              <w:rPr>
                <w:rFonts w:ascii="Times New Roman" w:hAnsi="Times New Roman"/>
                <w:color w:val="000000" w:themeColor="text1"/>
                <w:szCs w:val="21"/>
              </w:rPr>
            </w:pPr>
            <w:r>
              <w:rPr>
                <w:rFonts w:hint="eastAsia"/>
                <w:color w:val="000000" w:themeColor="text1"/>
              </w:rPr>
              <w:t>查《培训记录表》，</w:t>
            </w:r>
            <w:r>
              <w:rPr>
                <w:rFonts w:hint="eastAsia" w:ascii="Times New Roman" w:hAnsi="Times New Roman"/>
                <w:color w:val="000000" w:themeColor="text1"/>
                <w:szCs w:val="21"/>
              </w:rPr>
              <w:t>内容包括：ISO9001/ISO14001/ISO45001标准的宣贯；质量、环境、职业健康安全管理体系管理手册和程序文件、质量、环境、安全意识；检验员基础知识培训</w:t>
            </w:r>
            <w:r>
              <w:rPr>
                <w:rFonts w:hint="eastAsia" w:ascii="Times New Roman" w:hAnsi="Times New Roman"/>
                <w:color w:val="000000" w:themeColor="text1"/>
                <w:szCs w:val="21"/>
                <w:lang w:eastAsia="zh-CN"/>
              </w:rPr>
              <w:t>、</w:t>
            </w:r>
            <w:r>
              <w:rPr>
                <w:rFonts w:hint="eastAsia" w:ascii="Times New Roman" w:hAnsi="Times New Roman"/>
                <w:color w:val="000000" w:themeColor="text1"/>
                <w:szCs w:val="21"/>
                <w:lang w:val="en-US" w:eastAsia="zh-CN"/>
              </w:rPr>
              <w:t>溯源、量值传递之间的关系、</w:t>
            </w:r>
            <w:r>
              <w:rPr>
                <w:rFonts w:hint="eastAsia" w:ascii="Times New Roman" w:hAnsi="Times New Roman"/>
                <w:color w:val="000000" w:themeColor="text1"/>
                <w:szCs w:val="21"/>
              </w:rPr>
              <w:t>操作技能和改进环境表现；法规、制度、管理知识培训；应急准备和响应的有关要求；安全生产法规等培训，查培训记录、参加培训人员、培训方式、内容、考核方式等内容。</w:t>
            </w:r>
          </w:p>
          <w:p>
            <w:pPr>
              <w:pStyle w:val="6"/>
              <w:widowControl/>
              <w:spacing w:line="360" w:lineRule="auto"/>
              <w:ind w:firstLine="420" w:firstLineChars="200"/>
              <w:jc w:val="left"/>
              <w:rPr>
                <w:rFonts w:hint="eastAsia" w:ascii="Times New Roman" w:hAnsi="Times New Roman" w:eastAsia="宋体" w:cs="Times New Roman"/>
                <w:color w:val="000000" w:themeColor="text1"/>
                <w:szCs w:val="21"/>
              </w:rPr>
            </w:pPr>
            <w:r>
              <w:rPr>
                <w:rFonts w:hint="eastAsia" w:ascii="Times New Roman" w:hAnsi="Times New Roman"/>
                <w:color w:val="000000" w:themeColor="text1"/>
                <w:szCs w:val="21"/>
              </w:rPr>
              <w:t>抽</w:t>
            </w:r>
            <w:r>
              <w:rPr>
                <w:rFonts w:hint="eastAsia" w:ascii="Times New Roman" w:hAnsi="Times New Roman" w:eastAsia="宋体" w:cs="Times New Roman"/>
                <w:color w:val="000000" w:themeColor="text1"/>
                <w:szCs w:val="21"/>
              </w:rPr>
              <w:t>1</w:t>
            </w:r>
            <w:r>
              <w:rPr>
                <w:rFonts w:hint="eastAsia" w:ascii="Times New Roman" w:hAnsi="Times New Roman"/>
                <w:color w:val="000000" w:themeColor="text1"/>
                <w:szCs w:val="21"/>
              </w:rPr>
              <w:t>培训时间</w:t>
            </w:r>
            <w:r>
              <w:rPr>
                <w:rFonts w:hint="eastAsia" w:ascii="Times New Roman" w:hAnsi="Times New Roman" w:eastAsia="宋体" w:cs="Times New Roman"/>
                <w:color w:val="000000" w:themeColor="text1"/>
                <w:szCs w:val="21"/>
              </w:rPr>
              <w:t>：</w:t>
            </w:r>
            <w:r>
              <w:rPr>
                <w:rFonts w:hint="eastAsia" w:ascii="Times New Roman" w:hAnsi="Times New Roman" w:eastAsia="宋体" w:cs="Times New Roman"/>
                <w:color w:val="000000" w:themeColor="text1"/>
                <w:szCs w:val="21"/>
                <w:lang w:eastAsia="zh-CN"/>
              </w:rPr>
              <w:t>20</w:t>
            </w:r>
            <w:r>
              <w:rPr>
                <w:rFonts w:hint="eastAsia" w:ascii="Times New Roman" w:hAnsi="Times New Roman" w:eastAsia="宋体" w:cs="Times New Roman"/>
                <w:color w:val="000000" w:themeColor="text1"/>
                <w:szCs w:val="21"/>
                <w:lang w:val="en-US" w:eastAsia="zh-CN"/>
              </w:rPr>
              <w:t>2</w:t>
            </w:r>
            <w:r>
              <w:rPr>
                <w:rFonts w:hint="eastAsia" w:ascii="Times New Roman" w:hAnsi="Times New Roman" w:eastAsia="宋体" w:cs="Times New Roman"/>
                <w:color w:val="000000" w:themeColor="text1"/>
                <w:szCs w:val="21"/>
              </w:rPr>
              <w:t>年</w:t>
            </w:r>
            <w:r>
              <w:rPr>
                <w:rFonts w:hint="eastAsia" w:ascii="Times New Roman" w:hAnsi="Times New Roman" w:eastAsia="宋体" w:cs="Times New Roman"/>
                <w:color w:val="000000" w:themeColor="text1"/>
                <w:szCs w:val="21"/>
                <w:lang w:val="en-US" w:eastAsia="zh-CN"/>
              </w:rPr>
              <w:t>1月17日</w:t>
            </w:r>
            <w:r>
              <w:rPr>
                <w:rFonts w:hint="eastAsia" w:ascii="Times New Roman" w:hAnsi="Times New Roman" w:eastAsia="宋体" w:cs="Times New Roman"/>
                <w:color w:val="000000" w:themeColor="text1"/>
                <w:szCs w:val="21"/>
              </w:rPr>
              <w:t>，在会议室进行了</w:t>
            </w:r>
            <w:r>
              <w:rPr>
                <w:rFonts w:hint="eastAsia" w:ascii="Times New Roman" w:hAnsi="Times New Roman" w:eastAsia="宋体" w:cs="Times New Roman"/>
                <w:color w:val="000000" w:themeColor="text1"/>
                <w:szCs w:val="21"/>
                <w:lang w:eastAsia="zh-CN"/>
              </w:rPr>
              <w:t>ISO标准培训</w:t>
            </w:r>
            <w:r>
              <w:rPr>
                <w:rFonts w:hint="eastAsia" w:ascii="Times New Roman" w:hAnsi="Times New Roman" w:eastAsia="宋体" w:cs="Times New Roman"/>
                <w:color w:val="000000" w:themeColor="text1"/>
                <w:szCs w:val="21"/>
              </w:rPr>
              <w:t>标准相关要素精解、公司应急准备和响应的有关要求的培训，参加人员</w:t>
            </w:r>
            <w:r>
              <w:rPr>
                <w:rFonts w:hint="eastAsia" w:ascii="Times New Roman" w:hAnsi="Times New Roman" w:eastAsia="宋体" w:cs="Times New Roman"/>
                <w:color w:val="000000" w:themeColor="text1"/>
                <w:szCs w:val="21"/>
                <w:lang w:val="en-US" w:eastAsia="zh-CN"/>
              </w:rPr>
              <w:t>罗锦霞、唐浪、胡明飞</w:t>
            </w:r>
            <w:r>
              <w:rPr>
                <w:rFonts w:hint="eastAsia" w:ascii="Times New Roman" w:hAnsi="Times New Roman" w:eastAsia="宋体" w:cs="Times New Roman"/>
                <w:color w:val="000000" w:themeColor="text1"/>
                <w:szCs w:val="21"/>
              </w:rPr>
              <w:t>等；培训效果评价，达到预期效果。 评价人：</w:t>
            </w:r>
            <w:r>
              <w:rPr>
                <w:rFonts w:hint="eastAsia" w:ascii="Times New Roman" w:hAnsi="Times New Roman" w:eastAsia="宋体" w:cs="Times New Roman"/>
                <w:color w:val="000000" w:themeColor="text1"/>
                <w:szCs w:val="21"/>
                <w:lang w:val="en-US" w:eastAsia="zh-CN"/>
              </w:rPr>
              <w:t>周洪勇</w:t>
            </w:r>
          </w:p>
          <w:p>
            <w:pPr>
              <w:pStyle w:val="6"/>
              <w:widowControl/>
              <w:spacing w:line="360" w:lineRule="auto"/>
              <w:ind w:firstLine="420" w:firstLineChars="200"/>
              <w:jc w:val="left"/>
              <w:rPr>
                <w:rFonts w:hint="eastAsia"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抽2培训时间：</w:t>
            </w:r>
            <w:r>
              <w:rPr>
                <w:rFonts w:hint="eastAsia" w:ascii="Times New Roman" w:hAnsi="Times New Roman" w:eastAsia="宋体" w:cs="Times New Roman"/>
                <w:color w:val="000000" w:themeColor="text1"/>
                <w:szCs w:val="21"/>
                <w:lang w:eastAsia="zh-CN"/>
              </w:rPr>
              <w:t>20</w:t>
            </w:r>
            <w:r>
              <w:rPr>
                <w:rFonts w:hint="eastAsia" w:ascii="Times New Roman" w:hAnsi="Times New Roman" w:eastAsia="宋体" w:cs="Times New Roman"/>
                <w:color w:val="000000" w:themeColor="text1"/>
                <w:szCs w:val="21"/>
                <w:lang w:val="en-US" w:eastAsia="zh-CN"/>
              </w:rPr>
              <w:t>20</w:t>
            </w:r>
            <w:r>
              <w:rPr>
                <w:rFonts w:hint="eastAsia" w:ascii="Times New Roman" w:hAnsi="Times New Roman" w:eastAsia="宋体" w:cs="Times New Roman"/>
                <w:color w:val="000000" w:themeColor="text1"/>
                <w:szCs w:val="21"/>
              </w:rPr>
              <w:t>年</w:t>
            </w:r>
            <w:r>
              <w:rPr>
                <w:rFonts w:hint="eastAsia" w:ascii="Times New Roman" w:hAnsi="Times New Roman" w:eastAsia="宋体" w:cs="Times New Roman"/>
                <w:color w:val="000000" w:themeColor="text1"/>
                <w:szCs w:val="21"/>
                <w:lang w:val="en-US" w:eastAsia="zh-CN"/>
              </w:rPr>
              <w:t>3</w:t>
            </w:r>
            <w:r>
              <w:rPr>
                <w:rFonts w:hint="eastAsia" w:ascii="Times New Roman" w:hAnsi="Times New Roman" w:eastAsia="宋体" w:cs="Times New Roman"/>
                <w:color w:val="000000" w:themeColor="text1"/>
                <w:szCs w:val="21"/>
                <w:lang w:eastAsia="zh-CN"/>
              </w:rPr>
              <w:t xml:space="preserve">月 </w:t>
            </w:r>
            <w:r>
              <w:rPr>
                <w:rFonts w:hint="eastAsia" w:ascii="Times New Roman" w:hAnsi="Times New Roman" w:eastAsia="宋体" w:cs="Times New Roman"/>
                <w:color w:val="000000" w:themeColor="text1"/>
                <w:szCs w:val="21"/>
                <w:lang w:val="en-US" w:eastAsia="zh-CN"/>
              </w:rPr>
              <w:t>16日</w:t>
            </w:r>
            <w:r>
              <w:rPr>
                <w:rFonts w:hint="eastAsia" w:ascii="Times New Roman" w:hAnsi="Times New Roman" w:eastAsia="宋体" w:cs="Times New Roman"/>
                <w:color w:val="000000" w:themeColor="text1"/>
                <w:szCs w:val="21"/>
              </w:rPr>
              <w:t>，</w:t>
            </w:r>
            <w:r>
              <w:rPr>
                <w:rFonts w:hint="eastAsia" w:ascii="Times New Roman" w:hAnsi="Times New Roman" w:eastAsia="宋体" w:cs="Times New Roman"/>
                <w:color w:val="000000" w:themeColor="text1"/>
                <w:szCs w:val="21"/>
                <w:lang w:eastAsia="zh-CN"/>
              </w:rPr>
              <w:t>内审员</w:t>
            </w:r>
            <w:r>
              <w:rPr>
                <w:rFonts w:hint="eastAsia" w:ascii="Times New Roman" w:hAnsi="Times New Roman" w:eastAsia="宋体" w:cs="Times New Roman"/>
                <w:color w:val="000000" w:themeColor="text1"/>
                <w:szCs w:val="21"/>
              </w:rPr>
              <w:t>的培训，培训人员：</w:t>
            </w:r>
            <w:r>
              <w:rPr>
                <w:rFonts w:hint="eastAsia" w:ascii="Times New Roman" w:hAnsi="Times New Roman" w:eastAsia="宋体" w:cs="Times New Roman"/>
                <w:color w:val="000000" w:themeColor="text1"/>
                <w:szCs w:val="21"/>
                <w:lang w:val="en-US" w:eastAsia="zh-CN"/>
              </w:rPr>
              <w:t>罗锦霞、唐浪、胡明飞</w:t>
            </w:r>
            <w:r>
              <w:rPr>
                <w:rFonts w:hint="eastAsia" w:ascii="Times New Roman" w:hAnsi="Times New Roman" w:eastAsia="宋体" w:cs="Times New Roman"/>
                <w:color w:val="000000" w:themeColor="text1"/>
                <w:szCs w:val="21"/>
              </w:rPr>
              <w:t>等。培训取得预期效果。评价人：</w:t>
            </w:r>
            <w:r>
              <w:rPr>
                <w:rFonts w:hint="eastAsia" w:ascii="Times New Roman" w:hAnsi="Times New Roman" w:eastAsia="宋体" w:cs="Times New Roman"/>
                <w:color w:val="000000" w:themeColor="text1"/>
                <w:szCs w:val="21"/>
                <w:lang w:val="en-US" w:eastAsia="zh-CN"/>
              </w:rPr>
              <w:t>周洪勇</w:t>
            </w:r>
          </w:p>
          <w:p>
            <w:pPr>
              <w:pStyle w:val="6"/>
              <w:widowControl/>
              <w:spacing w:line="360" w:lineRule="auto"/>
              <w:jc w:val="left"/>
              <w:rPr>
                <w:rFonts w:ascii="Times New Roman" w:hAnsi="Times New Roman"/>
                <w:color w:val="000000" w:themeColor="text1"/>
                <w:szCs w:val="21"/>
              </w:rPr>
            </w:pPr>
            <w:r>
              <w:rPr>
                <w:rFonts w:hint="eastAsia" w:ascii="Times New Roman" w:hAnsi="Times New Roman"/>
                <w:color w:val="000000" w:themeColor="text1"/>
                <w:szCs w:val="21"/>
              </w:rPr>
              <w:t>提供相应的培训记录，及人员签到表和培训效果评价。</w:t>
            </w:r>
          </w:p>
          <w:p>
            <w:pPr>
              <w:pStyle w:val="6"/>
              <w:widowControl/>
              <w:spacing w:line="360" w:lineRule="auto"/>
              <w:jc w:val="left"/>
              <w:rPr>
                <w:rFonts w:hint="default" w:ascii="Times New Roman" w:hAnsi="Times New Roman"/>
                <w:color w:val="000000" w:themeColor="text1"/>
                <w:szCs w:val="21"/>
                <w:lang w:val="en-US" w:eastAsia="zh-CN"/>
              </w:rPr>
            </w:pPr>
            <w:r>
              <w:rPr>
                <w:rFonts w:hint="eastAsia" w:ascii="Times New Roman" w:hAnsi="Times New Roman"/>
                <w:color w:val="000000" w:themeColor="text1"/>
                <w:szCs w:val="21"/>
                <w:lang w:val="en-US" w:eastAsia="zh-CN"/>
              </w:rPr>
              <w:t>提供专业培训记录表：</w:t>
            </w:r>
          </w:p>
          <w:p>
            <w:pPr>
              <w:pStyle w:val="6"/>
              <w:widowControl/>
              <w:jc w:val="left"/>
              <w:rPr>
                <w:rFonts w:hint="eastAsia" w:ascii="Times New Roman" w:hAnsi="Times New Roman"/>
                <w:color w:val="FF0000"/>
                <w:szCs w:val="21"/>
              </w:rPr>
            </w:pPr>
          </w:p>
          <w:p>
            <w:pPr>
              <w:pStyle w:val="6"/>
              <w:widowControl/>
              <w:ind w:firstLine="3253" w:firstLineChars="900"/>
              <w:jc w:val="left"/>
              <w:rPr>
                <w:rFonts w:hint="eastAsia" w:ascii="宋体" w:hAnsi="宋体"/>
                <w:b/>
                <w:sz w:val="36"/>
              </w:rPr>
            </w:pPr>
            <w:r>
              <w:rPr>
                <w:rFonts w:hint="eastAsia" w:ascii="宋体" w:hAnsi="宋体"/>
                <w:b/>
                <w:bCs/>
                <w:sz w:val="36"/>
                <w:szCs w:val="36"/>
                <w:u w:val="single" w:color="auto"/>
                <w:lang w:val="en-US" w:eastAsia="zh-CN"/>
              </w:rPr>
              <w:t>ISO</w:t>
            </w:r>
            <w:r>
              <w:rPr>
                <w:rFonts w:hint="eastAsia" w:ascii="宋体" w:hAnsi="宋体"/>
                <w:b/>
                <w:bCs/>
                <w:sz w:val="36"/>
                <w:szCs w:val="36"/>
                <w:u w:val="single" w:color="auto"/>
                <w:lang w:eastAsia="zh-CN"/>
              </w:rPr>
              <w:t>标准</w:t>
            </w:r>
            <w:r>
              <w:rPr>
                <w:rFonts w:hint="eastAsia" w:ascii="宋体" w:hAnsi="宋体"/>
                <w:b/>
                <w:sz w:val="36"/>
              </w:rPr>
              <w:t>培训记录</w:t>
            </w:r>
          </w:p>
          <w:tbl>
            <w:tblPr>
              <w:tblStyle w:val="10"/>
              <w:tblW w:w="0" w:type="auto"/>
              <w:tblInd w:w="2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108"/>
              <w:gridCol w:w="4367"/>
              <w:gridCol w:w="4307"/>
              <w:gridCol w:w="32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0" w:hRule="atLeast"/>
              </w:trPr>
              <w:tc>
                <w:tcPr>
                  <w:tcW w:w="3108" w:type="dxa"/>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default"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时间：202年1月17日</w:t>
                  </w:r>
                </w:p>
              </w:tc>
              <w:tc>
                <w:tcPr>
                  <w:tcW w:w="4367" w:type="dxa"/>
                  <w:vMerge w:val="restart"/>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培训题目：</w:t>
                  </w:r>
                </w:p>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标准培训</w:t>
                  </w:r>
                </w:p>
              </w:tc>
              <w:tc>
                <w:tcPr>
                  <w:tcW w:w="4307" w:type="dxa"/>
                  <w:vMerge w:val="restart"/>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主办单位：</w:t>
                  </w:r>
                </w:p>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咨询公司</w:t>
                  </w:r>
                </w:p>
              </w:tc>
              <w:tc>
                <w:tcPr>
                  <w:tcW w:w="3240" w:type="dxa"/>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培训教师：咨询老师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0" w:hRule="atLeast"/>
              </w:trPr>
              <w:tc>
                <w:tcPr>
                  <w:tcW w:w="3108" w:type="dxa"/>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地点：会议室</w:t>
                  </w:r>
                </w:p>
              </w:tc>
              <w:tc>
                <w:tcPr>
                  <w:tcW w:w="4367" w:type="dxa"/>
                  <w:vMerge w:val="continue"/>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eastAsia" w:ascii="Times New Roman" w:hAnsi="Times New Roman" w:eastAsia="宋体" w:cs="Times New Roman"/>
                      <w:color w:val="000000" w:themeColor="text1"/>
                      <w:kern w:val="2"/>
                      <w:sz w:val="21"/>
                      <w:szCs w:val="21"/>
                      <w:lang w:val="en-US" w:eastAsia="zh-CN" w:bidi="ar-SA"/>
                    </w:rPr>
                  </w:pPr>
                </w:p>
              </w:tc>
              <w:tc>
                <w:tcPr>
                  <w:tcW w:w="4307" w:type="dxa"/>
                  <w:vMerge w:val="continue"/>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eastAsia" w:ascii="Times New Roman" w:hAnsi="Times New Roman" w:eastAsia="宋体" w:cs="Times New Roman"/>
                      <w:color w:val="000000" w:themeColor="text1"/>
                      <w:kern w:val="2"/>
                      <w:sz w:val="21"/>
                      <w:szCs w:val="21"/>
                      <w:lang w:val="en-US" w:eastAsia="zh-CN" w:bidi="ar-SA"/>
                    </w:rPr>
                  </w:pPr>
                </w:p>
              </w:tc>
              <w:tc>
                <w:tcPr>
                  <w:tcW w:w="3240" w:type="dxa"/>
                  <w:tcBorders>
                    <w:top w:val="single" w:color="auto" w:sz="4" w:space="0"/>
                    <w:left w:val="single" w:color="auto" w:sz="4" w:space="0"/>
                    <w:bottom w:val="single" w:color="auto" w:sz="4" w:space="0"/>
                    <w:right w:val="single" w:color="auto" w:sz="4" w:space="0"/>
                  </w:tcBorders>
                  <w:noWrap w:val="0"/>
                  <w:vAlign w:val="center"/>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培训方式：面  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15022" w:type="dxa"/>
                  <w:gridSpan w:val="4"/>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参加培训人员：</w:t>
                  </w:r>
                </w:p>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 xml:space="preserve">   周洪勇  李向阳  唐浪  罗锦霞  胡明飞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5022" w:type="dxa"/>
                  <w:gridSpan w:val="4"/>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培训内容：</w:t>
                  </w:r>
                </w:p>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 xml:space="preserve"> GB/T19001-2016标准、GB/T24001-2016标准、ISO45001:2018标准。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15022" w:type="dxa"/>
                  <w:gridSpan w:val="4"/>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考核方式及成绩：</w:t>
                  </w:r>
                </w:p>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 xml:space="preserve">               口头答题，全部取得优良成绩。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5022" w:type="dxa"/>
                  <w:gridSpan w:val="4"/>
                  <w:tcBorders>
                    <w:top w:val="single" w:color="auto" w:sz="4" w:space="0"/>
                    <w:left w:val="single" w:color="auto" w:sz="4" w:space="0"/>
                    <w:bottom w:val="single" w:color="auto" w:sz="4" w:space="0"/>
                    <w:right w:val="single" w:color="auto" w:sz="4" w:space="0"/>
                  </w:tcBorders>
                  <w:noWrap w:val="0"/>
                  <w:vAlign w:val="top"/>
                </w:tcPr>
                <w:p>
                  <w:pPr>
                    <w:ind w:left="-718" w:firstLine="617"/>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培训效果评价：</w:t>
                  </w:r>
                </w:p>
                <w:p>
                  <w:pPr>
                    <w:rPr>
                      <w:rFonts w:hint="eastAsia" w:ascii="Times New Roman" w:hAnsi="Times New Roman" w:eastAsia="宋体" w:cs="Times New Roman"/>
                      <w:color w:val="000000" w:themeColor="text1"/>
                      <w:kern w:val="2"/>
                      <w:sz w:val="21"/>
                      <w:szCs w:val="21"/>
                      <w:lang w:val="en-US" w:eastAsia="zh-CN" w:bidi="ar-SA"/>
                    </w:rPr>
                  </w:pPr>
                  <w:r>
                    <w:rPr>
                      <w:rFonts w:hint="eastAsia" w:ascii="Times New Roman" w:hAnsi="Times New Roman" w:eastAsia="宋体" w:cs="Times New Roman"/>
                      <w:color w:val="000000" w:themeColor="text1"/>
                      <w:kern w:val="2"/>
                      <w:sz w:val="21"/>
                      <w:szCs w:val="21"/>
                      <w:lang w:val="en-US" w:eastAsia="zh-CN" w:bidi="ar-SA"/>
                    </w:rPr>
                    <w:t xml:space="preserve">        公司全体人员对三种标准有了深刻的认识，结合本公司的实际情况，认识到质量、环境、安全的重要性，使公司全体人员的质量、环保和安全意识有了很大的提高。</w:t>
                  </w:r>
                </w:p>
                <w:p>
                  <w:pPr>
                    <w:rPr>
                      <w:rFonts w:ascii="宋体" w:hAnsi="宋体"/>
                      <w:sz w:val="28"/>
                    </w:rPr>
                  </w:pPr>
                  <w:r>
                    <w:rPr>
                      <w:rFonts w:ascii="宋体" w:hAnsi="宋体"/>
                      <w:sz w:val="28"/>
                    </w:rPr>
                    <w:t xml:space="preserve">                                                                                 </w:t>
                  </w:r>
                  <w:r>
                    <w:rPr>
                      <w:rFonts w:hint="eastAsia" w:ascii="宋体" w:hAnsi="宋体"/>
                      <w:sz w:val="28"/>
                    </w:rPr>
                    <w:t>评价人：</w:t>
                  </w:r>
                  <w:r>
                    <w:rPr>
                      <w:rFonts w:hint="eastAsia"/>
                      <w:sz w:val="28"/>
                      <w:szCs w:val="28"/>
                      <w:lang w:val="en-US" w:eastAsia="zh-CN"/>
                    </w:rPr>
                    <w:t>周洪勇</w:t>
                  </w:r>
                </w:p>
              </w:tc>
            </w:tr>
          </w:tbl>
          <w:p>
            <w:pPr>
              <w:pStyle w:val="6"/>
              <w:widowControl/>
              <w:spacing w:line="360" w:lineRule="auto"/>
              <w:jc w:val="left"/>
              <w:rPr>
                <w:rFonts w:hint="eastAsia" w:ascii="Times New Roman" w:hAnsi="Times New Roman"/>
                <w:color w:val="000000" w:themeColor="text1"/>
                <w:szCs w:val="21"/>
                <w:lang w:val="en-US" w:eastAsia="zh-CN"/>
              </w:rPr>
            </w:pPr>
            <w:r>
              <w:rPr>
                <w:rFonts w:hint="eastAsia" w:ascii="Times New Roman" w:hAnsi="Times New Roman"/>
                <w:color w:val="000000" w:themeColor="text1"/>
                <w:szCs w:val="21"/>
                <w:lang w:val="en-US" w:eastAsia="zh-CN"/>
              </w:rPr>
              <w:t>公司有计量员3名，提供重庆市技术质量监督局注册计量师证书：</w:t>
            </w:r>
          </w:p>
          <w:p>
            <w:pPr>
              <w:pStyle w:val="6"/>
              <w:widowControl/>
              <w:spacing w:line="360" w:lineRule="auto"/>
              <w:jc w:val="left"/>
              <w:rPr>
                <w:rFonts w:hint="default" w:ascii="Times New Roman" w:hAnsi="Times New Roman"/>
                <w:color w:val="000000" w:themeColor="text1"/>
                <w:szCs w:val="21"/>
                <w:lang w:val="en-US" w:eastAsia="zh-CN"/>
              </w:rPr>
            </w:pPr>
            <w:r>
              <w:rPr>
                <w:rFonts w:hint="eastAsia" w:ascii="Times New Roman" w:hAnsi="Times New Roman"/>
                <w:color w:val="000000" w:themeColor="text1"/>
                <w:szCs w:val="21"/>
                <w:lang w:val="en-US" w:eastAsia="zh-CN"/>
              </w:rPr>
              <w:t>查计量员证：</w:t>
            </w:r>
          </w:p>
          <w:p>
            <w:pPr>
              <w:pStyle w:val="6"/>
              <w:widowControl/>
              <w:spacing w:line="360" w:lineRule="auto"/>
              <w:jc w:val="left"/>
              <w:rPr>
                <w:rFonts w:hint="eastAsia" w:ascii="Times New Roman" w:hAnsi="Times New Roman"/>
                <w:color w:val="000000" w:themeColor="text1"/>
                <w:szCs w:val="21"/>
                <w:lang w:val="en-US" w:eastAsia="zh-CN"/>
              </w:rPr>
            </w:pPr>
            <w:r>
              <w:rPr>
                <w:rFonts w:hint="eastAsia" w:ascii="Times New Roman" w:hAnsi="Times New Roman"/>
                <w:color w:val="000000" w:themeColor="text1"/>
                <w:szCs w:val="21"/>
                <w:lang w:val="en-US" w:eastAsia="zh-CN"/>
              </w:rPr>
              <w:t>周洪勇，计量专业：力学、流量、水表、冷水水表检定规程等，发证日期2016.04.30有效期2021.04.29。</w:t>
            </w:r>
          </w:p>
          <w:p>
            <w:pPr>
              <w:pStyle w:val="6"/>
              <w:widowControl/>
              <w:spacing w:line="360" w:lineRule="auto"/>
              <w:jc w:val="left"/>
              <w:rPr>
                <w:rFonts w:hint="eastAsia" w:ascii="Times New Roman" w:hAnsi="Times New Roman"/>
                <w:color w:val="000000" w:themeColor="text1"/>
                <w:szCs w:val="21"/>
                <w:lang w:val="en-US" w:eastAsia="zh-CN"/>
              </w:rPr>
            </w:pPr>
            <w:r>
              <w:rPr>
                <w:rFonts w:hint="eastAsia" w:ascii="Times New Roman" w:hAnsi="Times New Roman"/>
                <w:color w:val="000000" w:themeColor="text1"/>
                <w:szCs w:val="21"/>
                <w:lang w:val="en-US" w:eastAsia="zh-CN"/>
              </w:rPr>
              <w:t>熊远行，计量专业：力学、流量、水表、冷水水表检定规程等，发证日期2016.04.30有效期2021.04.29。</w:t>
            </w:r>
          </w:p>
          <w:p>
            <w:pPr>
              <w:pStyle w:val="6"/>
              <w:widowControl/>
              <w:jc w:val="left"/>
              <w:rPr>
                <w:rFonts w:hint="eastAsia" w:ascii="Times New Roman" w:hAnsi="Times New Roman"/>
                <w:color w:val="FF0000"/>
                <w:szCs w:val="21"/>
              </w:rPr>
            </w:pPr>
            <w:r>
              <w:rPr>
                <w:rFonts w:hint="eastAsia"/>
              </w:rPr>
              <w:drawing>
                <wp:anchor distT="0" distB="0" distL="0" distR="0" simplePos="0" relativeHeight="251679744" behindDoc="0" locked="0" layoutInCell="1" allowOverlap="1">
                  <wp:simplePos x="0" y="0"/>
                  <wp:positionH relativeFrom="column">
                    <wp:posOffset>4426585</wp:posOffset>
                  </wp:positionH>
                  <wp:positionV relativeFrom="paragraph">
                    <wp:posOffset>99060</wp:posOffset>
                  </wp:positionV>
                  <wp:extent cx="2066290" cy="2875915"/>
                  <wp:effectExtent l="0" t="0" r="3810" b="698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66290" cy="2875915"/>
                          </a:xfrm>
                          <a:prstGeom prst="rect">
                            <a:avLst/>
                          </a:prstGeom>
                        </pic:spPr>
                      </pic:pic>
                    </a:graphicData>
                  </a:graphic>
                </wp:anchor>
              </w:drawing>
            </w:r>
            <w:r>
              <w:rPr>
                <w:rFonts w:hint="eastAsia"/>
              </w:rPr>
              <w:drawing>
                <wp:anchor distT="0" distB="0" distL="0" distR="0" simplePos="0" relativeHeight="251678720" behindDoc="0" locked="0" layoutInCell="1" allowOverlap="1">
                  <wp:simplePos x="0" y="0"/>
                  <wp:positionH relativeFrom="column">
                    <wp:posOffset>2279650</wp:posOffset>
                  </wp:positionH>
                  <wp:positionV relativeFrom="paragraph">
                    <wp:posOffset>85090</wp:posOffset>
                  </wp:positionV>
                  <wp:extent cx="1961515" cy="2674620"/>
                  <wp:effectExtent l="0" t="0" r="6985" b="508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1515" cy="2674620"/>
                          </a:xfrm>
                          <a:prstGeom prst="rect">
                            <a:avLst/>
                          </a:prstGeom>
                        </pic:spPr>
                      </pic:pic>
                    </a:graphicData>
                  </a:graphic>
                </wp:anchor>
              </w:drawing>
            </w:r>
            <w:r>
              <w:rPr>
                <w:rFonts w:hint="eastAsia"/>
              </w:rPr>
              <w:drawing>
                <wp:inline distT="0" distB="0" distL="0" distR="0">
                  <wp:extent cx="2030095" cy="2990215"/>
                  <wp:effectExtent l="0" t="0" r="190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0095" cy="2990215"/>
                          </a:xfrm>
                          <a:prstGeom prst="rect">
                            <a:avLst/>
                          </a:prstGeom>
                        </pic:spPr>
                      </pic:pic>
                    </a:graphicData>
                  </a:graphic>
                </wp:inline>
              </w:drawing>
            </w:r>
          </w:p>
          <w:p>
            <w:pPr>
              <w:pStyle w:val="6"/>
              <w:widowControl/>
              <w:jc w:val="left"/>
              <w:rPr>
                <w:rFonts w:hint="eastAsia" w:ascii="Times New Roman" w:hAnsi="Times New Roman"/>
                <w:color w:val="FF0000"/>
                <w:szCs w:val="21"/>
              </w:rPr>
            </w:pPr>
          </w:p>
          <w:p>
            <w:pPr>
              <w:pStyle w:val="6"/>
              <w:widowControl/>
              <w:jc w:val="left"/>
              <w:rPr>
                <w:rFonts w:hint="eastAsia" w:ascii="Times New Roman" w:hAnsi="Times New Roman"/>
                <w:color w:val="000000" w:themeColor="text1"/>
                <w:szCs w:val="21"/>
              </w:rPr>
            </w:pPr>
          </w:p>
          <w:p>
            <w:pPr>
              <w:pStyle w:val="6"/>
              <w:widowControl/>
              <w:jc w:val="left"/>
              <w:rPr>
                <w:rFonts w:hint="eastAsia" w:ascii="Times New Roman" w:hAnsi="Times New Roman"/>
                <w:color w:val="000000" w:themeColor="text1"/>
                <w:szCs w:val="21"/>
              </w:rPr>
            </w:pPr>
          </w:p>
          <w:p>
            <w:pPr>
              <w:pStyle w:val="6"/>
              <w:widowControl/>
              <w:jc w:val="left"/>
              <w:rPr>
                <w:rFonts w:hint="eastAsia" w:ascii="Times New Roman" w:hAnsi="Times New Roman"/>
                <w:color w:val="000000" w:themeColor="text1"/>
                <w:szCs w:val="21"/>
              </w:rPr>
            </w:pPr>
          </w:p>
          <w:p>
            <w:pPr>
              <w:pStyle w:val="6"/>
              <w:widowControl/>
              <w:jc w:val="left"/>
              <w:rPr>
                <w:rFonts w:hint="eastAsia" w:ascii="Times New Roman" w:hAnsi="Times New Roman"/>
                <w:color w:val="FF0000"/>
                <w:szCs w:val="21"/>
              </w:rPr>
            </w:pPr>
            <w:r>
              <w:rPr>
                <w:rFonts w:hint="eastAsia" w:ascii="Times New Roman" w:hAnsi="Times New Roman"/>
                <w:color w:val="000000" w:themeColor="text1"/>
                <w:szCs w:val="21"/>
              </w:rPr>
              <w:t>目前公司人员比较稳定，人员没有变化，没有新员工，人力资源控制基本满足要求。</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4" w:hRule="atLeast"/>
        </w:trPr>
        <w:tc>
          <w:tcPr>
            <w:tcW w:w="1956" w:type="dxa"/>
          </w:tcPr>
          <w:p>
            <w:pPr>
              <w:tabs>
                <w:tab w:val="center" w:pos="3169"/>
              </w:tabs>
              <w:spacing w:line="400" w:lineRule="exact"/>
              <w:jc w:val="left"/>
              <w:rPr>
                <w:rFonts w:ascii="宋体" w:hAnsi="宋体" w:cs="宋体"/>
                <w:szCs w:val="21"/>
                <w:lang w:bidi="ar"/>
              </w:rPr>
            </w:pPr>
          </w:p>
          <w:p>
            <w:pPr>
              <w:pStyle w:val="2"/>
              <w:tabs>
                <w:tab w:val="left" w:pos="3510"/>
                <w:tab w:val="left" w:pos="3585"/>
                <w:tab w:val="center" w:pos="4410"/>
                <w:tab w:val="left" w:pos="4620"/>
                <w:tab w:val="left" w:pos="4830"/>
                <w:tab w:val="left" w:pos="5580"/>
              </w:tabs>
            </w:pPr>
          </w:p>
          <w:p>
            <w:pPr>
              <w:tabs>
                <w:tab w:val="center" w:pos="3169"/>
              </w:tabs>
              <w:spacing w:line="400" w:lineRule="exact"/>
              <w:ind w:firstLine="420" w:firstLineChars="200"/>
              <w:jc w:val="left"/>
            </w:pPr>
            <w:r>
              <w:rPr>
                <w:rFonts w:hint="eastAsia" w:ascii="宋体" w:hAnsi="宋体" w:cs="宋体"/>
                <w:szCs w:val="21"/>
                <w:lang w:bidi="ar"/>
              </w:rPr>
              <w:t>沟通</w:t>
            </w:r>
          </w:p>
        </w:tc>
        <w:tc>
          <w:tcPr>
            <w:tcW w:w="1164" w:type="dxa"/>
          </w:tcPr>
          <w:p>
            <w:pPr>
              <w:tabs>
                <w:tab w:val="center" w:pos="3169"/>
              </w:tabs>
              <w:spacing w:line="400" w:lineRule="exact"/>
              <w:jc w:val="left"/>
              <w:rPr>
                <w:rFonts w:ascii="宋体" w:hAnsi="宋体" w:cs="宋体"/>
                <w:szCs w:val="21"/>
                <w:lang w:bidi="ar"/>
              </w:rPr>
            </w:pPr>
          </w:p>
          <w:p>
            <w:pPr>
              <w:pStyle w:val="2"/>
              <w:tabs>
                <w:tab w:val="left" w:pos="3510"/>
                <w:tab w:val="left" w:pos="3585"/>
                <w:tab w:val="center" w:pos="4410"/>
                <w:tab w:val="left" w:pos="4620"/>
                <w:tab w:val="left" w:pos="4830"/>
                <w:tab w:val="left" w:pos="5580"/>
              </w:tabs>
            </w:pP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 xml:space="preserve">O：7.4 </w:t>
            </w:r>
          </w:p>
          <w:p>
            <w:pPr>
              <w:tabs>
                <w:tab w:val="center" w:pos="3169"/>
              </w:tabs>
              <w:spacing w:line="400" w:lineRule="exact"/>
              <w:jc w:val="left"/>
              <w:rPr>
                <w:rFonts w:ascii="宋体" w:hAnsi="宋体" w:cs="宋体"/>
                <w:szCs w:val="21"/>
                <w:lang w:bidi="ar"/>
              </w:rPr>
            </w:pPr>
          </w:p>
        </w:tc>
        <w:tc>
          <w:tcPr>
            <w:tcW w:w="11012" w:type="dxa"/>
          </w:tcPr>
          <w:p>
            <w:pPr>
              <w:tabs>
                <w:tab w:val="center" w:pos="3169"/>
              </w:tabs>
              <w:spacing w:line="400" w:lineRule="exact"/>
              <w:jc w:val="left"/>
              <w:rPr>
                <w:rFonts w:ascii="宋体" w:hAnsi="宋体" w:cs="宋体"/>
                <w:szCs w:val="21"/>
                <w:lang w:bidi="ar"/>
              </w:rPr>
            </w:pPr>
            <w:r>
              <w:rPr>
                <w:rFonts w:hint="eastAsia" w:ascii="宋体" w:hAnsi="宋体"/>
                <w:szCs w:val="21"/>
              </w:rPr>
              <w:t>执行</w:t>
            </w:r>
            <w:r>
              <w:rPr>
                <w:rFonts w:hint="eastAsia" w:ascii="宋体" w:hAnsi="宋体" w:cs="宋体"/>
                <w:szCs w:val="21"/>
                <w:lang w:bidi="ar"/>
              </w:rPr>
              <w:t>《信息交流、沟通和协商控制程序》规定了公司内外信息交流、协商的对象、方式、记录等。对部门之间有需要交流的有关安全健康管理信息，在公司内部利用部门会议、宣传栏进行安全管理方针及目标、指标、管理方案及环保法律法规等内容的宣传、沟通。</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 xml:space="preserve"> 公司员工参与协商，员工提出参与安全知识的学习和培训，需要发放劳保用品。</w:t>
            </w:r>
          </w:p>
          <w:p>
            <w:pPr>
              <w:tabs>
                <w:tab w:val="center" w:pos="3169"/>
              </w:tabs>
              <w:spacing w:line="400" w:lineRule="exact"/>
              <w:jc w:val="left"/>
            </w:pPr>
            <w:r>
              <w:rPr>
                <w:rFonts w:hint="eastAsia" w:ascii="宋体" w:hAnsi="宋体" w:cs="宋体"/>
                <w:szCs w:val="21"/>
                <w:lang w:bidi="ar"/>
              </w:rPr>
              <w:t>查见内部交流主要通过直接面谈、会议、文件、培训方式，外部交流主要通过电话、信函方式。也可以通过工会等员工权益机构提出诉求。</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956" w:type="dxa"/>
          </w:tcPr>
          <w:p>
            <w:pPr>
              <w:tabs>
                <w:tab w:val="center" w:pos="3169"/>
              </w:tabs>
              <w:spacing w:line="400" w:lineRule="exact"/>
              <w:ind w:firstLine="420" w:firstLineChars="200"/>
              <w:jc w:val="left"/>
            </w:pPr>
          </w:p>
          <w:p>
            <w:pPr>
              <w:pStyle w:val="2"/>
              <w:tabs>
                <w:tab w:val="left" w:pos="3510"/>
                <w:tab w:val="left" w:pos="3585"/>
                <w:tab w:val="center" w:pos="4410"/>
                <w:tab w:val="left" w:pos="4620"/>
                <w:tab w:val="left" w:pos="4830"/>
                <w:tab w:val="left" w:pos="5580"/>
              </w:tabs>
              <w:ind w:firstLine="420" w:firstLineChars="200"/>
              <w:rPr>
                <w:rFonts w:ascii="宋体" w:hAnsi="宋体" w:cs="宋体"/>
                <w:b w:val="0"/>
                <w:bCs w:val="0"/>
                <w:sz w:val="21"/>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2"/>
              <w:tabs>
                <w:tab w:val="left" w:pos="3510"/>
                <w:tab w:val="left" w:pos="3585"/>
                <w:tab w:val="center" w:pos="4410"/>
                <w:tab w:val="left" w:pos="4620"/>
                <w:tab w:val="left" w:pos="4830"/>
                <w:tab w:val="left" w:pos="5580"/>
              </w:tabs>
              <w:ind w:firstLine="420" w:firstLineChars="200"/>
            </w:pPr>
            <w:r>
              <w:rPr>
                <w:rFonts w:hint="eastAsia" w:ascii="宋体" w:hAnsi="宋体" w:cs="宋体"/>
                <w:b w:val="0"/>
                <w:bCs w:val="0"/>
                <w:sz w:val="21"/>
                <w:szCs w:val="21"/>
                <w:lang w:bidi="ar"/>
              </w:rPr>
              <w:t>成文信息</w:t>
            </w:r>
          </w:p>
        </w:tc>
        <w:tc>
          <w:tcPr>
            <w:tcW w:w="1164" w:type="dxa"/>
          </w:tcPr>
          <w:p>
            <w:pPr>
              <w:tabs>
                <w:tab w:val="center" w:pos="3169"/>
              </w:tabs>
              <w:spacing w:line="400" w:lineRule="exact"/>
              <w:jc w:val="left"/>
            </w:pPr>
          </w:p>
          <w:p>
            <w:pPr>
              <w:pStyle w:val="2"/>
              <w:tabs>
                <w:tab w:val="left" w:pos="3510"/>
                <w:tab w:val="left" w:pos="3585"/>
                <w:tab w:val="center" w:pos="4410"/>
                <w:tab w:val="left" w:pos="4620"/>
                <w:tab w:val="left" w:pos="4830"/>
                <w:tab w:val="left" w:pos="5580"/>
              </w:tabs>
            </w:pPr>
          </w:p>
          <w:p>
            <w:pPr>
              <w:pStyle w:val="3"/>
            </w:pPr>
          </w:p>
          <w:p>
            <w:pPr>
              <w:pStyle w:val="3"/>
            </w:pPr>
          </w:p>
          <w:p>
            <w:pPr>
              <w:pStyle w:val="3"/>
            </w:pPr>
          </w:p>
          <w:p>
            <w:pPr>
              <w:pStyle w:val="3"/>
            </w:pP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 xml:space="preserve">O：7.5 </w:t>
            </w:r>
          </w:p>
          <w:p>
            <w:pPr>
              <w:pStyle w:val="3"/>
              <w:ind w:left="0"/>
            </w:pPr>
          </w:p>
        </w:tc>
        <w:tc>
          <w:tcPr>
            <w:tcW w:w="11012" w:type="dxa"/>
          </w:tcPr>
          <w:p>
            <w:pPr>
              <w:tabs>
                <w:tab w:val="center" w:pos="3169"/>
              </w:tabs>
              <w:spacing w:line="400" w:lineRule="exact"/>
              <w:jc w:val="left"/>
              <w:rPr>
                <w:rFonts w:ascii="宋体" w:hAnsi="宋体" w:cs="宋体"/>
                <w:szCs w:val="21"/>
                <w:lang w:bidi="ar"/>
              </w:rPr>
            </w:pPr>
            <w:r>
              <w:rPr>
                <w:rFonts w:hint="eastAsia" w:ascii="宋体" w:hAnsi="宋体" w:cs="宋体"/>
                <w:szCs w:val="21"/>
              </w:rPr>
              <w:t>编制了</w:t>
            </w:r>
            <w:r>
              <w:rPr>
                <w:rFonts w:hint="eastAsia" w:ascii="宋体" w:hAnsi="宋体" w:cs="宋体"/>
                <w:szCs w:val="21"/>
                <w:lang w:bidi="ar"/>
              </w:rPr>
              <w:t>《文件控制程序》、《记录控制程序》，体系文件生效实施日期为201</w:t>
            </w:r>
            <w:r>
              <w:rPr>
                <w:rFonts w:hint="eastAsia" w:ascii="宋体" w:hAnsi="宋体" w:cs="宋体"/>
                <w:szCs w:val="21"/>
                <w:lang w:val="en-US" w:eastAsia="zh-CN" w:bidi="ar"/>
              </w:rPr>
              <w:t>9</w:t>
            </w:r>
            <w:r>
              <w:rPr>
                <w:rFonts w:hint="eastAsia" w:ascii="宋体" w:hAnsi="宋体" w:cs="宋体"/>
                <w:szCs w:val="21"/>
                <w:lang w:bidi="ar"/>
              </w:rPr>
              <w:t>年1月1</w:t>
            </w:r>
            <w:r>
              <w:rPr>
                <w:rFonts w:hint="eastAsia" w:ascii="宋体" w:hAnsi="宋体" w:cs="宋体"/>
                <w:szCs w:val="21"/>
                <w:lang w:val="en-US" w:eastAsia="zh-CN" w:bidi="ar"/>
              </w:rPr>
              <w:t>0</w:t>
            </w:r>
            <w:r>
              <w:rPr>
                <w:rFonts w:hint="eastAsia" w:ascii="宋体" w:hAnsi="宋体" w:cs="宋体"/>
                <w:szCs w:val="21"/>
                <w:lang w:bidi="ar"/>
              </w:rPr>
              <w:t>日，文件规定了质量、环境和安全职业健康文件的编制、审批、评审、编号、回收、发放、更改、换版、作废等的管理和控制。</w:t>
            </w:r>
          </w:p>
          <w:p>
            <w:pPr>
              <w:tabs>
                <w:tab w:val="center" w:pos="3169"/>
              </w:tabs>
              <w:spacing w:line="400" w:lineRule="exact"/>
              <w:ind w:firstLine="210" w:firstLineChars="100"/>
              <w:jc w:val="left"/>
              <w:rPr>
                <w:rFonts w:ascii="宋体" w:hAnsi="宋体" w:cs="宋体"/>
                <w:szCs w:val="21"/>
                <w:lang w:bidi="ar"/>
              </w:rPr>
            </w:pPr>
            <w:r>
              <w:rPr>
                <w:rFonts w:hint="eastAsia" w:ascii="宋体" w:hAnsi="宋体" w:cs="宋体"/>
                <w:szCs w:val="21"/>
                <w:lang w:bidi="ar"/>
              </w:rPr>
              <w:t>查《受控文件清单 》，包括管理手册、程序文件，另有公司制定的《火灾应急响应规范》、《目标分解表》等作业文件。</w:t>
            </w:r>
          </w:p>
          <w:p>
            <w:pPr>
              <w:tabs>
                <w:tab w:val="center" w:pos="3169"/>
              </w:tabs>
              <w:spacing w:line="400" w:lineRule="exact"/>
              <w:ind w:firstLine="210" w:firstLineChars="100"/>
              <w:jc w:val="left"/>
              <w:rPr>
                <w:rFonts w:ascii="宋体" w:hAnsi="宋体" w:cs="宋体"/>
                <w:szCs w:val="21"/>
                <w:lang w:bidi="ar"/>
              </w:rPr>
            </w:pPr>
            <w:r>
              <w:rPr>
                <w:rFonts w:hint="eastAsia" w:ascii="宋体" w:hAnsi="宋体" w:cs="宋体"/>
                <w:szCs w:val="21"/>
                <w:lang w:bidi="ar"/>
              </w:rPr>
              <w:t>查：《文件、发放回收记录》，抽查文件发放情况，有收文、发文的确认签字，符合文件发放规定。</w:t>
            </w:r>
          </w:p>
          <w:p>
            <w:pPr>
              <w:tabs>
                <w:tab w:val="center" w:pos="3169"/>
              </w:tabs>
              <w:spacing w:line="400" w:lineRule="exact"/>
              <w:ind w:firstLine="210" w:firstLineChars="100"/>
              <w:jc w:val="left"/>
              <w:rPr>
                <w:rFonts w:ascii="宋体" w:hAnsi="宋体" w:cs="宋体"/>
                <w:szCs w:val="21"/>
                <w:lang w:bidi="ar"/>
              </w:rPr>
            </w:pPr>
            <w:r>
              <w:rPr>
                <w:rFonts w:hint="eastAsia" w:ascii="宋体" w:hAnsi="宋体" w:cs="宋体"/>
                <w:szCs w:val="21"/>
                <w:lang w:bidi="ar"/>
              </w:rPr>
              <w:t>查：《环境、职业健康安全法律法规及其他要求清单》，内容有国家和地方与质量、环境和职业健康安全管理体系相关适用法律法规。</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文件资料基本满足岗位工作需要，并为现行有效版本。</w:t>
            </w:r>
          </w:p>
          <w:p>
            <w:pPr>
              <w:tabs>
                <w:tab w:val="center" w:pos="3169"/>
              </w:tabs>
              <w:spacing w:line="400" w:lineRule="exact"/>
              <w:ind w:firstLine="210" w:firstLineChars="100"/>
              <w:jc w:val="left"/>
              <w:rPr>
                <w:rFonts w:ascii="宋体" w:hAnsi="宋体" w:cs="宋体"/>
                <w:szCs w:val="21"/>
                <w:lang w:bidi="ar"/>
              </w:rPr>
            </w:pPr>
            <w:r>
              <w:rPr>
                <w:rFonts w:hint="eastAsia" w:ascii="宋体" w:hAnsi="宋体" w:cs="宋体"/>
                <w:szCs w:val="21"/>
                <w:lang w:bidi="ar"/>
              </w:rPr>
              <w:t>查文件的评审及更新：管理评审时对文件的适宜性及可操作性进行评审：适宜、可操作。</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 xml:space="preserve">  查文件的作废：暂无作废文件。电子文档需要责任部门留下发放记录，并告知换页处置要求。</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文件按需求和公司管理规定发放至有关部门和人员，查有发放记录，符合。</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口头提出待改进项目：</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未对电子文档的安全性管理做出明确规定。</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 xml:space="preserve"> ----有《记录控制程序》，对记录表单的设计、编号、填写、贮存、保管、保护、检索、保存期限、到期处置等方面规定了要求并按此程序控制。</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提供《记录清单（含质量、环境安全）》，规定了记录的名称、编号、责任部门、保存期限等内容。</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核对标准规定的应保留的记录和保存期限，标准所规定的记录均涵盖，保存期限规定的合理。</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记录清单中对记录的管理、控制进行明确的分工。</w:t>
            </w:r>
            <w:r>
              <w:rPr>
                <w:rFonts w:hint="eastAsia" w:ascii="宋体" w:hAnsi="宋体" w:cs="宋体"/>
                <w:szCs w:val="21"/>
                <w:lang w:val="en-US" w:eastAsia="zh-CN" w:bidi="ar"/>
              </w:rPr>
              <w:t>行政部（财政部）</w:t>
            </w:r>
            <w:r>
              <w:rPr>
                <w:rFonts w:hint="eastAsia" w:ascii="宋体" w:hAnsi="宋体" w:cs="宋体"/>
                <w:szCs w:val="21"/>
                <w:lang w:bidi="ar"/>
              </w:rPr>
              <w:t>主要负责归档公司质量、环境及职业健康安全的标识、编目、保管、贮存，负责本程序的归口管理。见保管的记录：</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a. 法律、法规及其他要求清单；b.年度培训计划等记录；c.管理评审计划等记录；d.危险源辨识及风险评价台帐</w:t>
            </w:r>
          </w:p>
          <w:p>
            <w:pPr>
              <w:tabs>
                <w:tab w:val="center" w:pos="3169"/>
              </w:tabs>
              <w:spacing w:line="400" w:lineRule="exact"/>
              <w:jc w:val="left"/>
              <w:rPr>
                <w:rFonts w:ascii="宋体" w:hAnsi="宋体" w:cs="宋体"/>
                <w:szCs w:val="21"/>
                <w:lang w:bidi="ar"/>
              </w:rPr>
            </w:pPr>
            <w:r>
              <w:rPr>
                <w:rFonts w:hint="eastAsia" w:ascii="宋体" w:hAnsi="宋体" w:cs="宋体"/>
                <w:szCs w:val="21"/>
                <w:lang w:bidi="ar"/>
              </w:rPr>
              <w:t>e.培训申请表f.岗位人员能力评定记录。</w:t>
            </w:r>
          </w:p>
          <w:p>
            <w:pPr>
              <w:tabs>
                <w:tab w:val="center" w:pos="3169"/>
              </w:tabs>
              <w:spacing w:line="400" w:lineRule="exact"/>
              <w:jc w:val="left"/>
              <w:rPr>
                <w:rFonts w:hint="eastAsia" w:ascii="宋体" w:hAnsi="宋体" w:eastAsia="宋体" w:cs="宋体"/>
                <w:szCs w:val="21"/>
                <w:lang w:eastAsia="zh-CN" w:bidi="ar"/>
              </w:rPr>
            </w:pPr>
            <w:r>
              <w:rPr>
                <w:rFonts w:hint="eastAsia" w:ascii="宋体" w:hAnsi="宋体" w:cs="宋体"/>
                <w:szCs w:val="21"/>
                <w:lang w:bidi="ar"/>
              </w:rPr>
              <w:t>所见记录反映</w:t>
            </w:r>
            <w:r>
              <w:rPr>
                <w:rFonts w:hint="eastAsia" w:ascii="宋体" w:hAnsi="宋体" w:cs="宋体"/>
                <w:szCs w:val="21"/>
                <w:lang w:eastAsia="zh-CN" w:bidi="ar"/>
              </w:rPr>
              <w:t>行政部（财政部）</w:t>
            </w:r>
            <w:r>
              <w:rPr>
                <w:rFonts w:hint="eastAsia" w:ascii="宋体" w:hAnsi="宋体" w:cs="宋体"/>
                <w:szCs w:val="21"/>
                <w:lang w:bidi="ar"/>
              </w:rPr>
              <w:t>能够按照记录控制要求进行管理，记录保存完整，填写清晰、工整。记录控制符合要求</w:t>
            </w:r>
            <w:r>
              <w:rPr>
                <w:rFonts w:hint="eastAsia" w:ascii="宋体" w:hAnsi="宋体" w:cs="宋体"/>
                <w:szCs w:val="21"/>
                <w:lang w:eastAsia="zh-CN" w:bidi="ar"/>
              </w:rPr>
              <w:t>。</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956" w:type="dxa"/>
            <w:vAlign w:val="top"/>
          </w:tcPr>
          <w:p>
            <w:pPr>
              <w:pStyle w:val="2"/>
              <w:tabs>
                <w:tab w:val="left" w:pos="3510"/>
                <w:tab w:val="left" w:pos="3585"/>
                <w:tab w:val="center" w:pos="4410"/>
                <w:tab w:val="left" w:pos="4620"/>
                <w:tab w:val="left" w:pos="4830"/>
                <w:tab w:val="left" w:pos="5580"/>
              </w:tabs>
              <w:ind w:firstLine="420" w:firstLineChars="200"/>
              <w:rPr>
                <w:rFonts w:ascii="宋体" w:hAnsi="宋体" w:cs="宋体"/>
                <w:b w:val="0"/>
                <w:bCs w:val="0"/>
                <w:sz w:val="21"/>
                <w:szCs w:val="21"/>
                <w:lang w:bidi="ar"/>
              </w:rPr>
            </w:pPr>
          </w:p>
          <w:p>
            <w:pPr>
              <w:pStyle w:val="2"/>
              <w:tabs>
                <w:tab w:val="left" w:pos="3510"/>
                <w:tab w:val="left" w:pos="3585"/>
                <w:tab w:val="center" w:pos="4410"/>
                <w:tab w:val="left" w:pos="4620"/>
                <w:tab w:val="left" w:pos="4830"/>
                <w:tab w:val="left" w:pos="5580"/>
              </w:tabs>
              <w:rPr>
                <w:rFonts w:ascii="宋体" w:hAnsi="宋体" w:cs="宋体"/>
                <w:b w:val="0"/>
                <w:bCs w:val="0"/>
                <w:sz w:val="21"/>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3"/>
              <w:rPr>
                <w:rFonts w:ascii="宋体" w:hAnsi="宋体" w:cs="宋体"/>
                <w:kern w:val="2"/>
                <w:szCs w:val="21"/>
                <w:lang w:bidi="ar"/>
              </w:rPr>
            </w:pPr>
          </w:p>
          <w:p>
            <w:pPr>
              <w:pStyle w:val="2"/>
              <w:tabs>
                <w:tab w:val="left" w:pos="3510"/>
                <w:tab w:val="left" w:pos="3585"/>
                <w:tab w:val="center" w:pos="4410"/>
                <w:tab w:val="left" w:pos="4620"/>
                <w:tab w:val="left" w:pos="4830"/>
                <w:tab w:val="left" w:pos="5580"/>
              </w:tabs>
              <w:rPr>
                <w:rFonts w:ascii="宋体" w:hAnsi="宋体" w:cs="宋体"/>
                <w:b w:val="0"/>
                <w:bCs w:val="0"/>
                <w:sz w:val="21"/>
                <w:szCs w:val="21"/>
                <w:lang w:bidi="ar"/>
              </w:rPr>
            </w:pPr>
          </w:p>
          <w:p>
            <w:pPr>
              <w:pStyle w:val="2"/>
              <w:tabs>
                <w:tab w:val="left" w:pos="3510"/>
                <w:tab w:val="left" w:pos="3585"/>
                <w:tab w:val="center" w:pos="4410"/>
                <w:tab w:val="left" w:pos="4620"/>
                <w:tab w:val="left" w:pos="4830"/>
                <w:tab w:val="left" w:pos="5580"/>
              </w:tabs>
              <w:ind w:right="48" w:rightChars="0"/>
              <w:rPr>
                <w:rFonts w:hint="eastAsia" w:ascii="宋体" w:hAnsi="宋体" w:eastAsia="MingLiU" w:cs="宋体"/>
                <w:b w:val="0"/>
                <w:bCs w:val="0"/>
                <w:kern w:val="0"/>
                <w:sz w:val="21"/>
                <w:szCs w:val="21"/>
                <w:lang w:val="en-US" w:eastAsia="zh-CN" w:bidi="ar"/>
              </w:rPr>
            </w:pPr>
            <w:r>
              <w:rPr>
                <w:rFonts w:hint="eastAsia" w:ascii="宋体" w:hAnsi="宋体" w:cs="宋体"/>
                <w:b w:val="0"/>
                <w:bCs w:val="0"/>
                <w:sz w:val="21"/>
                <w:szCs w:val="21"/>
                <w:lang w:bidi="ar"/>
              </w:rPr>
              <w:t>监视、测量、分析和评价</w:t>
            </w:r>
          </w:p>
        </w:tc>
        <w:tc>
          <w:tcPr>
            <w:tcW w:w="1164" w:type="dxa"/>
            <w:vAlign w:val="top"/>
          </w:tcPr>
          <w:p>
            <w:pPr>
              <w:pStyle w:val="3"/>
              <w:ind w:left="0"/>
              <w:rPr>
                <w:rFonts w:ascii="宋体" w:hAnsi="宋体" w:cs="新宋体"/>
                <w:szCs w:val="21"/>
              </w:rPr>
            </w:pPr>
          </w:p>
          <w:p>
            <w:pPr>
              <w:pStyle w:val="3"/>
              <w:ind w:left="0"/>
              <w:rPr>
                <w:rFonts w:ascii="宋体" w:hAnsi="宋体" w:cs="新宋体"/>
                <w:szCs w:val="21"/>
              </w:rPr>
            </w:pPr>
          </w:p>
          <w:p>
            <w:pPr>
              <w:pStyle w:val="3"/>
              <w:ind w:left="0"/>
              <w:rPr>
                <w:rFonts w:ascii="宋体" w:hAnsi="宋体" w:cs="新宋体"/>
                <w:szCs w:val="21"/>
              </w:rPr>
            </w:pPr>
          </w:p>
          <w:p>
            <w:pPr>
              <w:pStyle w:val="3"/>
              <w:ind w:left="0"/>
              <w:rPr>
                <w:rFonts w:ascii="宋体" w:hAnsi="宋体" w:cs="新宋体"/>
                <w:szCs w:val="21"/>
              </w:rPr>
            </w:pPr>
          </w:p>
          <w:p>
            <w:pPr>
              <w:pStyle w:val="3"/>
              <w:ind w:left="0"/>
              <w:rPr>
                <w:rFonts w:ascii="宋体" w:hAnsi="宋体" w:cs="新宋体"/>
                <w:szCs w:val="21"/>
              </w:rPr>
            </w:pPr>
          </w:p>
          <w:p>
            <w:pPr>
              <w:pStyle w:val="3"/>
              <w:ind w:left="0"/>
              <w:rPr>
                <w:rFonts w:ascii="宋体" w:hAnsi="宋体" w:cs="新宋体"/>
                <w:szCs w:val="21"/>
              </w:rPr>
            </w:pPr>
          </w:p>
          <w:p>
            <w:pPr>
              <w:pStyle w:val="3"/>
              <w:ind w:left="0"/>
              <w:rPr>
                <w:rFonts w:ascii="宋体" w:hAnsi="宋体" w:cs="新宋体"/>
                <w:szCs w:val="21"/>
              </w:rPr>
            </w:pPr>
          </w:p>
          <w:p>
            <w:pPr>
              <w:pStyle w:val="3"/>
              <w:ind w:left="0" w:leftChars="0"/>
              <w:rPr>
                <w:rFonts w:ascii="Times New Roman" w:hAnsi="Times New Roman" w:eastAsia="宋体" w:cs="Times New Roman"/>
                <w:kern w:val="0"/>
                <w:sz w:val="21"/>
                <w:lang w:val="en-US" w:eastAsia="zh-CN" w:bidi="ar-SA"/>
              </w:rPr>
            </w:pPr>
            <w:r>
              <w:rPr>
                <w:rFonts w:hint="eastAsia" w:ascii="宋体" w:hAnsi="宋体" w:cs="Arial"/>
                <w:spacing w:val="-6"/>
                <w:szCs w:val="21"/>
              </w:rPr>
              <w:t>Q：9.1.1</w:t>
            </w:r>
            <w:r>
              <w:rPr>
                <w:rFonts w:hint="eastAsia" w:ascii="宋体" w:hAnsi="宋体" w:cs="Arial"/>
                <w:szCs w:val="21"/>
              </w:rPr>
              <w:t>、Q：9.1.3</w:t>
            </w:r>
          </w:p>
        </w:tc>
        <w:tc>
          <w:tcPr>
            <w:tcW w:w="11012" w:type="dxa"/>
            <w:vAlign w:val="top"/>
          </w:tcPr>
          <w:p>
            <w:pPr>
              <w:autoSpaceDE w:val="0"/>
              <w:autoSpaceDN w:val="0"/>
              <w:spacing w:line="360" w:lineRule="auto"/>
              <w:rPr>
                <w:rFonts w:ascii="宋体" w:hAnsi="宋体" w:cs="宋体"/>
                <w:szCs w:val="21"/>
              </w:rPr>
            </w:pPr>
            <w:r>
              <w:rPr>
                <w:rFonts w:hint="eastAsia" w:ascii="宋体" w:hAnsi="宋体" w:cs="宋体"/>
                <w:szCs w:val="21"/>
              </w:rPr>
              <w:t>编制了《产品监测及绩效监测控制程序》公司规定了管理体系相关信息的收集、汇总、分析、处理、传递的要求。</w:t>
            </w:r>
          </w:p>
          <w:p>
            <w:pPr>
              <w:snapToGrid w:val="0"/>
              <w:spacing w:line="360" w:lineRule="auto"/>
              <w:ind w:firstLine="420" w:firstLineChars="200"/>
              <w:rPr>
                <w:rFonts w:ascii="宋体" w:hAnsi="宋体" w:cs="宋体"/>
                <w:szCs w:val="21"/>
              </w:rPr>
            </w:pPr>
            <w:r>
              <w:rPr>
                <w:rFonts w:hint="eastAsia" w:ascii="宋体" w:hAnsi="宋体" w:cs="宋体"/>
                <w:szCs w:val="21"/>
              </w:rPr>
              <w:t>公司组织各部门策划和实施必要的监视和测量活动，确保产品、体系和过程的符合性，以持续改进质量管理体系的有效性。公司的过程和体系的监视和测量主要是通过内审、管理评审、目标考核以及日常工作监督、产品检验、顾客满意度测量等的方式完成。</w:t>
            </w:r>
          </w:p>
          <w:p>
            <w:pPr>
              <w:spacing w:line="360" w:lineRule="auto"/>
              <w:ind w:firstLine="420"/>
              <w:rPr>
                <w:rFonts w:hint="eastAsia" w:ascii="宋体" w:hAnsi="宋体" w:cs="宋体"/>
                <w:szCs w:val="21"/>
              </w:rPr>
            </w:pPr>
            <w:r>
              <w:rPr>
                <w:rFonts w:hint="eastAsia" w:ascii="宋体" w:hAnsi="宋体" w:cs="宋体"/>
                <w:szCs w:val="21"/>
                <w:lang w:val="en-US" w:eastAsia="zh-CN"/>
              </w:rPr>
              <w:t>提供《日常监督记录表》，</w:t>
            </w:r>
            <w:r>
              <w:rPr>
                <w:rFonts w:hint="eastAsia" w:ascii="宋体" w:hAnsi="宋体" w:cs="宋体"/>
                <w:szCs w:val="21"/>
              </w:rPr>
              <w:t>从</w:t>
            </w:r>
            <w:r>
              <w:rPr>
                <w:rFonts w:hint="eastAsia" w:ascii="宋体" w:hAnsi="宋体" w:cs="宋体"/>
                <w:szCs w:val="21"/>
                <w:lang w:val="en-US" w:eastAsia="zh-CN"/>
              </w:rPr>
              <w:t>人员资格及资格保持情况、作业指导书及执行情况、校准/检测/检定方法为现行有效、设备检定/校准均在有效期内、仪器设备操作熟练、环境和设施均满足试验要求、样品标识均符合要求、所有原始记录按照规定进行填写，见证资料等方面进行评价。</w:t>
            </w:r>
          </w:p>
          <w:p>
            <w:pPr>
              <w:spacing w:line="360" w:lineRule="auto"/>
              <w:ind w:firstLine="420" w:firstLineChars="200"/>
              <w:rPr>
                <w:rFonts w:ascii="宋体" w:hAnsi="宋体" w:cs="宋体"/>
                <w:szCs w:val="21"/>
              </w:rPr>
            </w:pPr>
            <w:r>
              <w:rPr>
                <w:rFonts w:hint="eastAsia" w:ascii="宋体" w:hAnsi="宋体" w:cs="宋体"/>
                <w:szCs w:val="21"/>
                <w:lang w:val="en-US" w:eastAsia="zh-CN"/>
              </w:rPr>
              <w:t>行政部</w:t>
            </w:r>
            <w:r>
              <w:rPr>
                <w:rFonts w:hint="eastAsia" w:ascii="宋体" w:hAnsi="宋体" w:cs="宋体"/>
                <w:szCs w:val="21"/>
              </w:rPr>
              <w:t>负责对体系、过程的日常监测和质量目标完成情况进行统计分析。对目标完成情况进行收集和统计分析，并制作目标完成情况统计表。</w:t>
            </w:r>
          </w:p>
          <w:p>
            <w:pPr>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营销部</w:t>
            </w:r>
            <w:r>
              <w:rPr>
                <w:rFonts w:hint="eastAsia" w:ascii="宋体" w:hAnsi="宋体" w:cs="宋体"/>
                <w:szCs w:val="21"/>
              </w:rPr>
              <w:t>负责对供方业绩予以评价，对供方业绩实施了监视和测量，并对</w:t>
            </w:r>
            <w:r>
              <w:rPr>
                <w:rFonts w:hint="eastAsia" w:ascii="宋体" w:hAnsi="宋体" w:cs="宋体"/>
                <w:szCs w:val="21"/>
                <w:lang w:val="en-US" w:eastAsia="zh-CN"/>
              </w:rPr>
              <w:t>检测</w:t>
            </w:r>
            <w:r>
              <w:rPr>
                <w:rFonts w:hint="eastAsia" w:ascii="宋体" w:hAnsi="宋体" w:cs="宋体"/>
                <w:szCs w:val="21"/>
              </w:rPr>
              <w:t>过程的监视和测量活动进行了策划和实施。</w:t>
            </w:r>
          </w:p>
          <w:p>
            <w:pPr>
              <w:snapToGrid w:val="0"/>
              <w:spacing w:line="360" w:lineRule="auto"/>
              <w:ind w:firstLine="420" w:firstLineChars="200"/>
              <w:rPr>
                <w:rFonts w:ascii="宋体" w:hAnsi="宋体" w:cs="宋体"/>
                <w:szCs w:val="21"/>
              </w:rPr>
            </w:pPr>
            <w:r>
              <w:rPr>
                <w:rFonts w:hint="eastAsia" w:ascii="宋体" w:hAnsi="宋体" w:cs="宋体"/>
                <w:szCs w:val="21"/>
                <w:lang w:val="en-US" w:eastAsia="zh-CN"/>
              </w:rPr>
              <w:t>营销部</w:t>
            </w:r>
            <w:r>
              <w:rPr>
                <w:rFonts w:hint="eastAsia" w:ascii="宋体" w:hAnsi="宋体" w:cs="宋体"/>
                <w:szCs w:val="21"/>
              </w:rPr>
              <w:t>对顾客满意度进行了定期评价和分析。</w:t>
            </w:r>
          </w:p>
          <w:p>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公司日常通过对市场信息、目标完成情况及适宜性、营销人员过程工作监督、产品质量检验、顾客满意对测量及反馈等作为分析评价的输入，并根据输出情况及时采取了相应措施并改进，公司针对其他信息，进行了随时利用，但</w:t>
            </w:r>
            <w:r>
              <w:rPr>
                <w:rFonts w:hint="eastAsia" w:ascii="宋体" w:hAnsi="宋体" w:cs="宋体"/>
                <w:szCs w:val="21"/>
                <w:lang w:val="en-US" w:eastAsia="zh-CN"/>
              </w:rPr>
              <w:t>并</w:t>
            </w:r>
            <w:r>
              <w:rPr>
                <w:rFonts w:hint="eastAsia" w:ascii="宋体" w:hAnsi="宋体" w:cs="宋体"/>
                <w:szCs w:val="21"/>
              </w:rPr>
              <w:t>保持相关记录，公司已建立了信息收集的渠道，并实施</w:t>
            </w:r>
            <w:r>
              <w:rPr>
                <w:rFonts w:hint="eastAsia" w:ascii="宋体" w:hAnsi="宋体" w:cs="宋体"/>
                <w:szCs w:val="21"/>
                <w:lang w:eastAsia="zh-CN"/>
              </w:rPr>
              <w:t>。</w:t>
            </w:r>
          </w:p>
          <w:p>
            <w:pPr>
              <w:tabs>
                <w:tab w:val="center" w:pos="3169"/>
              </w:tabs>
              <w:spacing w:line="400" w:lineRule="exact"/>
              <w:jc w:val="left"/>
              <w:rPr>
                <w:rFonts w:hint="eastAsia" w:ascii="宋体" w:hAnsi="宋体" w:eastAsia="宋体" w:cs="宋体"/>
                <w:kern w:val="2"/>
                <w:sz w:val="21"/>
                <w:szCs w:val="21"/>
                <w:lang w:val="en-US" w:eastAsia="zh-CN" w:bidi="ar"/>
              </w:rPr>
            </w:pPr>
            <w:r>
              <w:rPr>
                <w:rFonts w:hint="eastAsia" w:ascii="宋体" w:hAnsi="宋体" w:cs="宋体"/>
                <w:szCs w:val="21"/>
              </w:rPr>
              <w:t>公司已对管理体系的监视、测量、分析和评价进行了策划，基本能够按照要求实施。</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56" w:type="dxa"/>
            <w:vAlign w:val="center"/>
          </w:tcPr>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不合格和纠正措施</w:t>
            </w:r>
          </w:p>
        </w:tc>
        <w:tc>
          <w:tcPr>
            <w:tcW w:w="1164" w:type="dxa"/>
            <w:vAlign w:val="center"/>
          </w:tcPr>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both"/>
              <w:rPr>
                <w:rFonts w:ascii="宋体" w:hAnsi="宋体" w:cs="宋体"/>
                <w:szCs w:val="21"/>
              </w:rPr>
            </w:pPr>
          </w:p>
          <w:p>
            <w:pPr>
              <w:spacing w:line="360" w:lineRule="auto"/>
              <w:jc w:val="center"/>
              <w:rPr>
                <w:rFonts w:hAnsi="宋体" w:cs="Arial"/>
                <w:szCs w:val="21"/>
              </w:rPr>
            </w:pPr>
            <w:r>
              <w:rPr>
                <w:rFonts w:hint="eastAsia" w:ascii="宋体" w:hAnsi="宋体" w:cs="宋体"/>
                <w:szCs w:val="21"/>
              </w:rPr>
              <w:t>QEO：10.2</w:t>
            </w:r>
          </w:p>
          <w:p>
            <w:pPr>
              <w:spacing w:line="360" w:lineRule="auto"/>
              <w:jc w:val="center"/>
              <w:rPr>
                <w:rFonts w:ascii="宋体" w:hAnsi="宋体" w:cs="Arial"/>
                <w:spacing w:val="-6"/>
                <w:szCs w:val="21"/>
              </w:rPr>
            </w:pPr>
          </w:p>
        </w:tc>
        <w:tc>
          <w:tcPr>
            <w:tcW w:w="11012" w:type="dxa"/>
          </w:tcPr>
          <w:p>
            <w:pPr>
              <w:tabs>
                <w:tab w:val="left" w:pos="6597"/>
              </w:tabs>
              <w:spacing w:line="360" w:lineRule="auto"/>
              <w:ind w:firstLine="420" w:firstLineChars="200"/>
              <w:rPr>
                <w:rFonts w:ascii="宋体" w:hAnsi="宋体" w:cs="宋体"/>
                <w:szCs w:val="21"/>
              </w:rPr>
            </w:pPr>
            <w:r>
              <w:rPr>
                <w:rFonts w:hint="eastAsia" w:ascii="宋体" w:hAnsi="宋体" w:cs="宋体"/>
                <w:szCs w:val="21"/>
              </w:rPr>
              <w:t xml:space="preserve">保持实施《事故、事件、不符合、纠正和预防措施控制程序》，对纠正预防措施识别、评审、验证，事故事件报告、调查、处理等作了规定，其内容符合组织实际及标准要求。 </w:t>
            </w:r>
          </w:p>
          <w:p>
            <w:pPr>
              <w:tabs>
                <w:tab w:val="left" w:pos="6597"/>
              </w:tabs>
              <w:spacing w:line="360" w:lineRule="auto"/>
              <w:ind w:firstLine="420" w:firstLineChars="200"/>
              <w:rPr>
                <w:rFonts w:ascii="宋体" w:hAnsi="宋体" w:cs="宋体"/>
                <w:szCs w:val="21"/>
              </w:rPr>
            </w:pPr>
            <w:r>
              <w:rPr>
                <w:rFonts w:hint="eastAsia" w:ascii="宋体" w:hAnsi="宋体" w:cs="宋体"/>
                <w:szCs w:val="21"/>
              </w:rPr>
              <w:t>查纠正措施实施情况：</w:t>
            </w:r>
          </w:p>
          <w:p>
            <w:pPr>
              <w:tabs>
                <w:tab w:val="left" w:pos="6597"/>
              </w:tabs>
              <w:spacing w:line="360" w:lineRule="auto"/>
              <w:ind w:firstLine="420" w:firstLineChars="200"/>
              <w:rPr>
                <w:rFonts w:ascii="宋体" w:hAnsi="宋体" w:cs="宋体"/>
                <w:szCs w:val="21"/>
              </w:rPr>
            </w:pPr>
            <w:r>
              <w:rPr>
                <w:rFonts w:hint="eastAsia" w:ascii="宋体" w:hAnsi="宋体" w:cs="宋体"/>
                <w:szCs w:val="21"/>
              </w:rPr>
              <w:t>对体系运行过程中产生不合格的</w:t>
            </w:r>
            <w:r>
              <w:rPr>
                <w:rFonts w:hint="eastAsia" w:ascii="宋体" w:hAnsi="宋体" w:cs="宋体"/>
                <w:szCs w:val="21"/>
                <w:lang w:val="en-US" w:eastAsia="zh-CN"/>
              </w:rPr>
              <w:t>校准报告</w:t>
            </w:r>
            <w:r>
              <w:rPr>
                <w:rFonts w:hint="eastAsia" w:ascii="宋体" w:hAnsi="宋体" w:cs="宋体"/>
                <w:szCs w:val="21"/>
              </w:rPr>
              <w:t>，公司提供纠正措施实施报告。</w:t>
            </w:r>
          </w:p>
          <w:p>
            <w:pPr>
              <w:tabs>
                <w:tab w:val="left" w:pos="6597"/>
              </w:tabs>
              <w:spacing w:line="360" w:lineRule="auto"/>
              <w:ind w:firstLine="420" w:firstLineChars="200"/>
              <w:rPr>
                <w:rFonts w:hint="default" w:ascii="宋体" w:hAnsi="宋体" w:cs="宋体"/>
                <w:szCs w:val="21"/>
                <w:lang w:val="en-US" w:eastAsia="zh-CN"/>
              </w:rPr>
            </w:pPr>
            <w:r>
              <w:rPr>
                <w:rFonts w:hint="eastAsia" w:ascii="宋体" w:hAnsi="宋体" w:cs="宋体"/>
                <w:szCs w:val="21"/>
              </w:rPr>
              <w:t>抽查到：1）</w:t>
            </w:r>
            <w:r>
              <w:rPr>
                <w:rFonts w:hint="eastAsia" w:ascii="宋体" w:hAnsi="宋体" w:cs="宋体"/>
                <w:szCs w:val="21"/>
                <w:lang w:eastAsia="zh-CN"/>
              </w:rPr>
              <w:t>2019.12.11</w:t>
            </w:r>
            <w:r>
              <w:rPr>
                <w:rFonts w:hint="eastAsia" w:ascii="宋体" w:hAnsi="宋体" w:cs="宋体"/>
                <w:szCs w:val="21"/>
              </w:rPr>
              <w:t>《供方评审》，</w:t>
            </w:r>
            <w:r>
              <w:rPr>
                <w:rFonts w:hint="eastAsia" w:ascii="宋体" w:hAnsi="宋体" w:cs="宋体"/>
                <w:szCs w:val="21"/>
                <w:lang w:eastAsia="zh-CN"/>
              </w:rPr>
              <w:t>不合格事实：市场部没有对邹平县东方化工有限公司进行供方评审</w:t>
            </w:r>
            <w:r>
              <w:rPr>
                <w:rFonts w:hint="eastAsia" w:ascii="宋体" w:hAnsi="宋体" w:cs="宋体"/>
                <w:szCs w:val="21"/>
                <w:lang w:val="en-US" w:eastAsia="zh-CN"/>
              </w:rPr>
              <w:t>。</w:t>
            </w:r>
            <w:r>
              <w:rPr>
                <w:rFonts w:hint="eastAsia" w:ascii="宋体" w:hAnsi="宋体" w:cs="宋体"/>
                <w:szCs w:val="21"/>
                <w:lang w:eastAsia="zh-CN"/>
              </w:rPr>
              <w:t>责任部门负责人对问题进行了原因分析：</w:t>
            </w:r>
            <w:r>
              <w:rPr>
                <w:rFonts w:hint="eastAsia" w:ascii="宋体" w:hAnsi="宋体" w:cs="宋体"/>
                <w:szCs w:val="21"/>
                <w:lang w:val="en-US" w:eastAsia="zh-CN"/>
              </w:rPr>
              <w:t>并进行了纠正，</w:t>
            </w:r>
            <w:r>
              <w:rPr>
                <w:rFonts w:hint="eastAsia" w:ascii="宋体" w:hAnsi="宋体" w:cs="宋体"/>
                <w:szCs w:val="21"/>
                <w:lang w:eastAsia="zh-CN"/>
              </w:rPr>
              <w:t>1.对相关人员进行标准条款</w:t>
            </w:r>
            <w:r>
              <w:rPr>
                <w:rFonts w:hint="eastAsia" w:ascii="宋体" w:hAnsi="宋体" w:cs="宋体"/>
                <w:szCs w:val="21"/>
                <w:lang w:val="en-US" w:eastAsia="zh-CN"/>
              </w:rPr>
              <w:t>8.4.1</w:t>
            </w:r>
            <w:r>
              <w:rPr>
                <w:rFonts w:hint="eastAsia" w:ascii="宋体" w:hAnsi="宋体" w:cs="宋体"/>
                <w:szCs w:val="21"/>
                <w:lang w:eastAsia="zh-CN"/>
              </w:rPr>
              <w:t>进行学习2.立即对邹平县东方化工有限公司进行供方评审</w:t>
            </w:r>
            <w:r>
              <w:rPr>
                <w:rFonts w:hint="eastAsia" w:ascii="宋体" w:hAnsi="宋体" w:cs="宋体"/>
                <w:szCs w:val="21"/>
                <w:lang w:val="en-US" w:eastAsia="zh-CN"/>
              </w:rPr>
              <w:t>。</w:t>
            </w:r>
          </w:p>
          <w:p>
            <w:pPr>
              <w:tabs>
                <w:tab w:val="left" w:pos="6597"/>
              </w:tabs>
              <w:spacing w:line="360" w:lineRule="auto"/>
              <w:ind w:firstLine="420" w:firstLineChars="200"/>
              <w:rPr>
                <w:rFonts w:ascii="宋体" w:hAnsi="宋体" w:cs="宋体"/>
                <w:szCs w:val="21"/>
              </w:rPr>
            </w:pPr>
            <w:r>
              <w:rPr>
                <w:rFonts w:hint="eastAsia" w:ascii="宋体" w:hAnsi="宋体" w:cs="宋体"/>
                <w:szCs w:val="21"/>
              </w:rPr>
              <w:t>体系运行以来公司按照体系的要求，通过运行控制、加强培训，以及开展管理评审活动等方式采取预防措施，防止不符合/不合格的发生，不符合得到了有效控制，人员质量、环保、安全意识有了明显提高，没有发现潜在的不符合，没有发生重大质量事故和投诉处罚，没有发生环境、职业健康安全事件和投诉处罚。</w:t>
            </w:r>
          </w:p>
          <w:p>
            <w:pPr>
              <w:tabs>
                <w:tab w:val="left" w:pos="6597"/>
              </w:tabs>
              <w:spacing w:line="360" w:lineRule="auto"/>
              <w:ind w:firstLine="420" w:firstLineChars="200"/>
              <w:rPr>
                <w:rFonts w:ascii="宋体" w:hAnsi="宋体" w:cs="宋体"/>
                <w:szCs w:val="21"/>
              </w:rPr>
            </w:pPr>
            <w:r>
              <w:rPr>
                <w:rFonts w:hint="eastAsia" w:ascii="宋体" w:hAnsi="宋体" w:cs="宋体"/>
                <w:szCs w:val="21"/>
              </w:rPr>
              <w:t>企业纠正和预防措施的管理符合标准规定要求。</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956" w:type="dxa"/>
            <w:vAlign w:val="center"/>
          </w:tcPr>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kern w:val="2"/>
                <w:sz w:val="24"/>
                <w:szCs w:val="24"/>
                <w:lang w:val="en-US" w:eastAsia="zh-CN" w:bidi="ar-SA"/>
              </w:rPr>
            </w:pPr>
            <w:r>
              <w:rPr>
                <w:rFonts w:hint="eastAsia" w:ascii="宋体" w:hAnsi="宋体" w:eastAsia="宋体" w:cs="宋体"/>
                <w:sz w:val="24"/>
                <w:szCs w:val="24"/>
              </w:rPr>
              <w:t>环境因素/危险源</w:t>
            </w:r>
          </w:p>
        </w:tc>
        <w:tc>
          <w:tcPr>
            <w:tcW w:w="1164" w:type="dxa"/>
            <w:vAlign w:val="top"/>
          </w:tcPr>
          <w:p>
            <w:pPr>
              <w:spacing w:line="360" w:lineRule="auto"/>
              <w:rPr>
                <w:rFonts w:hint="eastAsia" w:ascii="宋体" w:hAnsi="宋体" w:eastAsia="宋体" w:cs="宋体"/>
                <w:bCs/>
                <w:sz w:val="24"/>
                <w:szCs w:val="24"/>
              </w:rPr>
            </w:pPr>
          </w:p>
          <w:p>
            <w:pPr>
              <w:pStyle w:val="3"/>
              <w:ind w:left="0" w:leftChars="0" w:firstLine="0" w:firstLineChars="0"/>
              <w:rPr>
                <w:rFonts w:hint="eastAsia" w:ascii="宋体" w:hAnsi="宋体" w:eastAsia="宋体" w:cs="宋体"/>
                <w:bCs/>
                <w:sz w:val="24"/>
                <w:szCs w:val="24"/>
              </w:rPr>
            </w:pPr>
          </w:p>
          <w:p>
            <w:pPr>
              <w:pStyle w:val="3"/>
              <w:rPr>
                <w:rFonts w:hint="eastAsia" w:ascii="宋体" w:hAnsi="宋体" w:eastAsia="宋体" w:cs="宋体"/>
                <w:bCs/>
                <w:sz w:val="24"/>
                <w:szCs w:val="24"/>
              </w:rPr>
            </w:pPr>
          </w:p>
          <w:p>
            <w:pPr>
              <w:pStyle w:val="3"/>
              <w:rPr>
                <w:rFonts w:hint="eastAsia" w:ascii="宋体" w:hAnsi="宋体" w:eastAsia="宋体" w:cs="宋体"/>
                <w:bCs/>
                <w:sz w:val="24"/>
                <w:szCs w:val="24"/>
              </w:rPr>
            </w:pPr>
          </w:p>
          <w:p>
            <w:pPr>
              <w:spacing w:line="360" w:lineRule="auto"/>
              <w:jc w:val="center"/>
              <w:rPr>
                <w:rFonts w:hint="eastAsia" w:ascii="宋体" w:hAnsi="宋体" w:eastAsia="宋体" w:cs="宋体"/>
                <w:szCs w:val="21"/>
              </w:rPr>
            </w:pPr>
            <w:r>
              <w:rPr>
                <w:rFonts w:hint="eastAsia" w:ascii="宋体" w:hAnsi="宋体" w:eastAsia="宋体" w:cs="宋体"/>
                <w:szCs w:val="21"/>
              </w:rPr>
              <w:t>E</w:t>
            </w:r>
            <w:r>
              <w:rPr>
                <w:rFonts w:hint="eastAsia" w:ascii="宋体" w:hAnsi="宋体" w:eastAsia="宋体" w:cs="宋体"/>
                <w:szCs w:val="21"/>
                <w:lang w:val="en-US" w:eastAsia="zh-CN"/>
              </w:rPr>
              <w:t>O</w:t>
            </w:r>
            <w:r>
              <w:rPr>
                <w:rFonts w:hint="eastAsia" w:ascii="宋体" w:hAnsi="宋体" w:eastAsia="宋体" w:cs="宋体"/>
                <w:szCs w:val="21"/>
              </w:rPr>
              <w:t xml:space="preserve">：6.1.2 </w:t>
            </w:r>
          </w:p>
          <w:p>
            <w:pPr>
              <w:spacing w:line="360" w:lineRule="auto"/>
              <w:rPr>
                <w:rFonts w:hint="eastAsia" w:ascii="宋体" w:hAnsi="宋体" w:eastAsia="宋体" w:cs="宋体"/>
                <w:kern w:val="2"/>
                <w:sz w:val="24"/>
                <w:szCs w:val="24"/>
                <w:lang w:val="en-US" w:eastAsia="zh-CN" w:bidi="ar-SA"/>
              </w:rPr>
            </w:pPr>
          </w:p>
        </w:tc>
        <w:tc>
          <w:tcPr>
            <w:tcW w:w="11012" w:type="dxa"/>
            <w:vAlign w:val="top"/>
          </w:tcPr>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企业编制了《环境因素识别与评价控制程序》、《危险源辨识和风险评价控制程序》，</w:t>
            </w:r>
            <w:r>
              <w:rPr>
                <w:rFonts w:hint="eastAsia" w:ascii="宋体" w:hAnsi="宋体" w:cs="宋体"/>
                <w:sz w:val="21"/>
                <w:szCs w:val="21"/>
                <w:lang w:val="en-US" w:eastAsia="zh-CN"/>
              </w:rPr>
              <w:t>行政部（财政部）</w:t>
            </w:r>
            <w:r>
              <w:rPr>
                <w:rFonts w:hint="eastAsia" w:ascii="宋体" w:hAnsi="宋体" w:eastAsia="宋体" w:cs="宋体"/>
                <w:bCs/>
                <w:sz w:val="21"/>
                <w:szCs w:val="21"/>
              </w:rPr>
              <w:t>作为环境和职业健康安全管理体系的推进</w:t>
            </w:r>
            <w:r>
              <w:rPr>
                <w:rFonts w:hint="eastAsia" w:ascii="宋体" w:hAnsi="宋体" w:eastAsia="宋体" w:cs="宋体"/>
                <w:sz w:val="21"/>
                <w:szCs w:val="21"/>
              </w:rPr>
              <w:t>部门，主要负责识别评价相关的环境因素及危险源。</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各部门根据业务范围分别识别，最后由</w:t>
            </w:r>
            <w:r>
              <w:rPr>
                <w:rFonts w:hint="eastAsia" w:ascii="宋体" w:hAnsi="宋体" w:cs="宋体"/>
                <w:sz w:val="21"/>
                <w:szCs w:val="21"/>
                <w:lang w:eastAsia="zh-CN"/>
              </w:rPr>
              <w:t>行政部（财政部）</w:t>
            </w:r>
            <w:r>
              <w:rPr>
                <w:rFonts w:hint="eastAsia" w:ascii="宋体" w:hAnsi="宋体" w:eastAsia="宋体" w:cs="宋体"/>
                <w:sz w:val="21"/>
                <w:szCs w:val="21"/>
              </w:rPr>
              <w:t>统一汇总。</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提供了“环境因素识别评价汇总表”，识别考虑了正常、异常、紧急，过去、现在、未来三种时态，考虑了供方、客户等可施加影响的环境因素。其中涉及</w:t>
            </w:r>
            <w:r>
              <w:rPr>
                <w:rFonts w:hint="eastAsia" w:ascii="宋体" w:hAnsi="宋体" w:cs="宋体"/>
                <w:sz w:val="21"/>
                <w:szCs w:val="21"/>
                <w:lang w:eastAsia="zh-CN"/>
              </w:rPr>
              <w:t>行政部（财政部）</w:t>
            </w:r>
            <w:r>
              <w:rPr>
                <w:rFonts w:hint="eastAsia" w:ascii="宋体" w:hAnsi="宋体" w:eastAsia="宋体" w:cs="宋体"/>
                <w:sz w:val="21"/>
                <w:szCs w:val="21"/>
              </w:rPr>
              <w:t>的环境因素主要有水、电、纸张资源及生活固废排放、办公固废排放、火灾等，识别时能考虑产品生命周期观点。</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查“重要环境因素清单”，采取多因子评价法，评价出</w:t>
            </w:r>
            <w:r>
              <w:rPr>
                <w:rFonts w:hint="eastAsia"/>
                <w:color w:val="000000"/>
              </w:rPr>
              <w:t>潜在火灾</w:t>
            </w:r>
            <w:r>
              <w:rPr>
                <w:rFonts w:hint="eastAsia" w:ascii="宋体" w:hAnsi="宋体" w:eastAsia="宋体" w:cs="宋体"/>
                <w:sz w:val="21"/>
                <w:szCs w:val="21"/>
              </w:rPr>
              <w:t>、</w:t>
            </w:r>
            <w:r>
              <w:rPr>
                <w:rFonts w:hint="eastAsia"/>
                <w:color w:val="000000"/>
                <w:lang w:eastAsia="zh-CN"/>
              </w:rPr>
              <w:t>固废的排放、能耗</w:t>
            </w:r>
            <w:r>
              <w:rPr>
                <w:rFonts w:hint="eastAsia" w:ascii="宋体" w:hAnsi="宋体" w:eastAsia="宋体" w:cs="宋体"/>
                <w:sz w:val="21"/>
                <w:szCs w:val="21"/>
              </w:rPr>
              <w:t>的发生等</w:t>
            </w:r>
            <w:r>
              <w:rPr>
                <w:rFonts w:hint="eastAsia" w:ascii="宋体" w:hAnsi="宋体" w:cs="宋体"/>
                <w:sz w:val="21"/>
                <w:szCs w:val="21"/>
                <w:lang w:val="en-US" w:eastAsia="zh-CN"/>
              </w:rPr>
              <w:t>3</w:t>
            </w:r>
            <w:r>
              <w:rPr>
                <w:rFonts w:hint="eastAsia" w:ascii="宋体" w:hAnsi="宋体" w:eastAsia="宋体" w:cs="宋体"/>
                <w:sz w:val="21"/>
                <w:szCs w:val="21"/>
              </w:rPr>
              <w:t>项重要环境因素。</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经评价本部门的重要环境因素为日常办公过程中</w:t>
            </w:r>
            <w:r>
              <w:rPr>
                <w:rFonts w:hint="eastAsia"/>
                <w:color w:val="000000"/>
              </w:rPr>
              <w:t>潜在火灾</w:t>
            </w:r>
            <w:r>
              <w:rPr>
                <w:rFonts w:hint="eastAsia" w:ascii="宋体" w:hAnsi="宋体" w:eastAsia="宋体" w:cs="宋体"/>
                <w:sz w:val="21"/>
                <w:szCs w:val="21"/>
              </w:rPr>
              <w:t>、</w:t>
            </w:r>
            <w:r>
              <w:rPr>
                <w:rFonts w:hint="eastAsia"/>
                <w:color w:val="000000"/>
                <w:lang w:eastAsia="zh-CN"/>
              </w:rPr>
              <w:t>固废的排放、能耗</w:t>
            </w:r>
            <w:r>
              <w:rPr>
                <w:rFonts w:hint="eastAsia" w:ascii="宋体" w:hAnsi="宋体" w:eastAsia="宋体" w:cs="宋体"/>
                <w:sz w:val="21"/>
                <w:szCs w:val="21"/>
              </w:rPr>
              <w:t>的发生等</w:t>
            </w:r>
            <w:r>
              <w:rPr>
                <w:rFonts w:hint="eastAsia" w:ascii="宋体" w:hAnsi="宋体" w:cs="宋体"/>
                <w:sz w:val="21"/>
                <w:szCs w:val="21"/>
                <w:lang w:val="en-US" w:eastAsia="zh-CN"/>
              </w:rPr>
              <w:t>3</w:t>
            </w:r>
            <w:r>
              <w:rPr>
                <w:rFonts w:hint="eastAsia" w:ascii="宋体" w:hAnsi="宋体" w:eastAsia="宋体" w:cs="宋体"/>
                <w:sz w:val="21"/>
                <w:szCs w:val="21"/>
              </w:rPr>
              <w:t>项重要环境因素。</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控制措施：固废分类存放、办公危废交耗材供应公司，垃圾由环卫部门拉走，包装物分类卖掉，日常培训，日常检查，配备消防器材等措施。</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提供“危险源辨识和风险评价一览表”，识别了办公过程、采购及销售过程、检验过程中的危险源。包括办公、采购、销售、检验等过程中的办公设备辐射、办公车辆使用等使用不当导致人身伤害、检验活动过程中的划伤；采购及销售过程中的运输汽车事故等。</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涉及本部门的危险源有办公活动过程中电脑辐射、被桌柜撞伤、线路老化触电、火灾等。经评价本部门重大危险源：电器使用操作不当引起的触电、火灾事故。</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提供“重大危险源清单”，对识别的危险源采取D=LEC进行评价，评价出重大危险源</w:t>
            </w:r>
            <w:r>
              <w:rPr>
                <w:rFonts w:hint="eastAsia" w:ascii="宋体" w:hAnsi="宋体" w:eastAsia="宋体" w:cs="宋体"/>
                <w:sz w:val="21"/>
                <w:szCs w:val="21"/>
                <w:lang w:val="en-US" w:eastAsia="zh-CN"/>
              </w:rPr>
              <w:t>4</w:t>
            </w:r>
            <w:r>
              <w:rPr>
                <w:rFonts w:hint="eastAsia" w:ascii="宋体" w:hAnsi="宋体" w:eastAsia="宋体" w:cs="宋体"/>
                <w:sz w:val="21"/>
                <w:szCs w:val="21"/>
              </w:rPr>
              <w:t>个，包括：火灾导致人身伤害、触电、</w:t>
            </w:r>
            <w:r>
              <w:rPr>
                <w:rFonts w:hint="eastAsia" w:ascii="宋体" w:hAnsi="宋体" w:eastAsia="宋体" w:cs="宋体"/>
                <w:sz w:val="21"/>
                <w:szCs w:val="21"/>
                <w:lang w:eastAsia="zh-CN"/>
              </w:rPr>
              <w:t>人身伤害、中暑</w:t>
            </w:r>
            <w:r>
              <w:rPr>
                <w:rFonts w:hint="eastAsia" w:ascii="宋体" w:hAnsi="宋体" w:eastAsia="宋体" w:cs="宋体"/>
                <w:sz w:val="21"/>
                <w:szCs w:val="21"/>
              </w:rPr>
              <w:t>事故等。</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危险源控制执行管理方案、配备消防器材、个体防护、日常检查、日常培训教育等运行控制措施等。</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956" w:type="dxa"/>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合规义务</w:t>
            </w:r>
          </w:p>
        </w:tc>
        <w:tc>
          <w:tcPr>
            <w:tcW w:w="1164" w:type="dxa"/>
            <w:vAlign w:val="top"/>
          </w:tcPr>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pStyle w:val="2"/>
              <w:tabs>
                <w:tab w:val="left" w:pos="3510"/>
                <w:tab w:val="left" w:pos="3585"/>
                <w:tab w:val="center" w:pos="4410"/>
                <w:tab w:val="left" w:pos="4620"/>
                <w:tab w:val="left" w:pos="4830"/>
                <w:tab w:val="left" w:pos="5580"/>
              </w:tabs>
              <w:rPr>
                <w:rFonts w:hint="eastAsia" w:ascii="宋体" w:hAnsi="宋体" w:eastAsia="宋体" w:cs="宋体"/>
                <w:szCs w:val="21"/>
              </w:rPr>
            </w:pPr>
          </w:p>
          <w:p>
            <w:pPr>
              <w:pStyle w:val="3"/>
              <w:rPr>
                <w:rFonts w:hint="eastAsia" w:ascii="宋体" w:hAnsi="宋体" w:eastAsia="宋体" w:cs="宋体"/>
                <w:szCs w:val="21"/>
              </w:rPr>
            </w:pPr>
          </w:p>
          <w:p>
            <w:pPr>
              <w:pStyle w:val="3"/>
              <w:rPr>
                <w:rFonts w:hint="eastAsia" w:ascii="宋体" w:hAnsi="宋体" w:eastAsia="宋体" w:cs="宋体"/>
                <w:szCs w:val="21"/>
              </w:rPr>
            </w:pPr>
          </w:p>
          <w:p>
            <w:pPr>
              <w:spacing w:line="360" w:lineRule="auto"/>
              <w:rPr>
                <w:rFonts w:hint="eastAsia" w:ascii="宋体" w:hAnsi="宋体" w:eastAsia="宋体" w:cs="宋体"/>
                <w:bCs/>
                <w:sz w:val="24"/>
                <w:szCs w:val="24"/>
              </w:rPr>
            </w:pPr>
            <w:r>
              <w:rPr>
                <w:rFonts w:hint="eastAsia" w:ascii="宋体" w:hAnsi="宋体" w:eastAsia="宋体" w:cs="宋体"/>
                <w:szCs w:val="21"/>
              </w:rPr>
              <w:t>E</w:t>
            </w:r>
            <w:r>
              <w:rPr>
                <w:rFonts w:hint="eastAsia" w:ascii="宋体" w:hAnsi="宋体" w:eastAsia="宋体" w:cs="宋体"/>
                <w:szCs w:val="21"/>
                <w:lang w:val="en-US" w:eastAsia="zh-CN"/>
              </w:rPr>
              <w:t>O</w:t>
            </w:r>
            <w:r>
              <w:rPr>
                <w:rFonts w:hint="eastAsia" w:ascii="宋体" w:hAnsi="宋体" w:eastAsia="宋体" w:cs="宋体"/>
                <w:szCs w:val="21"/>
              </w:rPr>
              <w:t>：6.1.3</w:t>
            </w:r>
            <w:r>
              <w:rPr>
                <w:rFonts w:hint="eastAsia" w:ascii="宋体" w:hAnsi="宋体" w:eastAsia="宋体" w:cs="宋体"/>
                <w:bCs/>
                <w:sz w:val="24"/>
                <w:szCs w:val="24"/>
              </w:rPr>
              <w:t xml:space="preserve"> </w:t>
            </w:r>
          </w:p>
          <w:p>
            <w:pPr>
              <w:spacing w:line="360" w:lineRule="auto"/>
              <w:rPr>
                <w:rFonts w:hint="eastAsia" w:ascii="宋体" w:hAnsi="宋体" w:eastAsia="宋体" w:cs="宋体"/>
                <w:bCs/>
                <w:kern w:val="2"/>
                <w:sz w:val="24"/>
                <w:szCs w:val="24"/>
                <w:lang w:val="en-US" w:eastAsia="zh-CN" w:bidi="ar-SA"/>
              </w:rPr>
            </w:pPr>
          </w:p>
        </w:tc>
        <w:tc>
          <w:tcPr>
            <w:tcW w:w="11012" w:type="dxa"/>
            <w:vAlign w:val="center"/>
          </w:tcPr>
          <w:p>
            <w:pPr>
              <w:tabs>
                <w:tab w:val="left" w:pos="6597"/>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建立实施了《法律法规和其他要求获取、确认及合规性评价程序》。</w:t>
            </w:r>
          </w:p>
          <w:p>
            <w:pPr>
              <w:tabs>
                <w:tab w:val="left" w:pos="6597"/>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查《质量</w:t>
            </w:r>
            <w:r>
              <w:rPr>
                <w:rFonts w:hint="eastAsia" w:ascii="宋体" w:hAnsi="宋体" w:cs="宋体"/>
                <w:sz w:val="21"/>
                <w:szCs w:val="21"/>
                <w:lang w:eastAsia="zh-CN"/>
              </w:rPr>
              <w:t>、</w:t>
            </w:r>
            <w:r>
              <w:rPr>
                <w:rFonts w:hint="eastAsia" w:ascii="宋体" w:hAnsi="宋体" w:cs="宋体"/>
                <w:sz w:val="21"/>
                <w:szCs w:val="21"/>
                <w:lang w:val="en-US" w:eastAsia="zh-CN"/>
              </w:rPr>
              <w:t>环境、</w:t>
            </w:r>
            <w:r>
              <w:rPr>
                <w:rFonts w:hint="eastAsia" w:ascii="宋体" w:hAnsi="宋体" w:eastAsia="宋体" w:cs="宋体"/>
                <w:sz w:val="21"/>
                <w:szCs w:val="21"/>
              </w:rPr>
              <w:t>职业健康安全--法律法规和其他要求清单》，共识别相关</w:t>
            </w:r>
            <w:r>
              <w:rPr>
                <w:rFonts w:hint="eastAsia" w:ascii="宋体" w:hAnsi="宋体" w:eastAsia="宋体" w:cs="宋体"/>
                <w:sz w:val="21"/>
                <w:szCs w:val="21"/>
                <w:lang w:val="en-US" w:eastAsia="zh-CN"/>
              </w:rPr>
              <w:t>质量</w:t>
            </w:r>
            <w:r>
              <w:rPr>
                <w:rFonts w:hint="eastAsia" w:ascii="宋体" w:hAnsi="宋体" w:eastAsia="宋体" w:cs="宋体"/>
                <w:sz w:val="21"/>
                <w:szCs w:val="21"/>
              </w:rPr>
              <w:t>法律法规：</w:t>
            </w:r>
            <w:r>
              <w:rPr>
                <w:rFonts w:hint="eastAsia" w:ascii="宋体" w:hAnsi="宋体" w:cs="宋体"/>
                <w:sz w:val="21"/>
                <w:szCs w:val="21"/>
                <w:lang w:val="en-US" w:eastAsia="zh-CN"/>
              </w:rPr>
              <w:t>61</w:t>
            </w:r>
            <w:r>
              <w:rPr>
                <w:rFonts w:hint="eastAsia" w:ascii="宋体" w:hAnsi="宋体" w:eastAsia="宋体" w:cs="宋体"/>
                <w:sz w:val="21"/>
                <w:szCs w:val="21"/>
              </w:rPr>
              <w:t>项；</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其中包括：最新版的《中华人民共和国环境保护法》、《中华人民共和国道路交通安全法》、《中华人民共和国节约能源法》、《中华人民共和国传染病防治法》、《</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"http://www.zhb.gov.cn/law/law/199106/t19910629_81963.htm" </w:instrText>
            </w:r>
            <w:r>
              <w:rPr>
                <w:rFonts w:hint="eastAsia" w:ascii="宋体" w:hAnsi="宋体" w:eastAsia="宋体" w:cs="宋体"/>
                <w:sz w:val="21"/>
                <w:szCs w:val="21"/>
              </w:rPr>
              <w:fldChar w:fldCharType="separate"/>
            </w:r>
            <w:r>
              <w:rPr>
                <w:rFonts w:hint="eastAsia" w:ascii="宋体" w:hAnsi="宋体" w:eastAsia="宋体" w:cs="宋体"/>
                <w:sz w:val="21"/>
                <w:szCs w:val="21"/>
              </w:rPr>
              <w:t>中华人民共和国水土保持法</w:t>
            </w:r>
            <w:r>
              <w:rPr>
                <w:rFonts w:hint="eastAsia" w:ascii="宋体" w:hAnsi="宋体" w:eastAsia="宋体" w:cs="宋体"/>
                <w:sz w:val="21"/>
                <w:szCs w:val="21"/>
              </w:rPr>
              <w:fldChar w:fldCharType="end"/>
            </w:r>
            <w:r>
              <w:rPr>
                <w:rFonts w:hint="eastAsia" w:ascii="宋体" w:hAnsi="宋体" w:eastAsia="宋体" w:cs="宋体"/>
                <w:sz w:val="21"/>
                <w:szCs w:val="21"/>
              </w:rPr>
              <w:t>》、《中华人民共和国劳动法》、《中华人民共和国职业病防治法》、《城市市容和环境卫生管理条例》、《工伤保险条例》等。已识别法律法规及其它要求的适用条款，能与环境因素、危险源向对应。</w:t>
            </w:r>
          </w:p>
          <w:p>
            <w:pPr>
              <w:tabs>
                <w:tab w:val="left" w:pos="6597"/>
              </w:tabs>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cs="宋体"/>
                <w:sz w:val="21"/>
                <w:szCs w:val="21"/>
                <w:lang w:eastAsia="zh-CN"/>
              </w:rPr>
              <w:t>行政部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技术部</w:t>
            </w:r>
            <w:r>
              <w:rPr>
                <w:rFonts w:hint="eastAsia" w:ascii="宋体" w:hAnsi="宋体" w:eastAsia="宋体" w:cs="宋体"/>
                <w:sz w:val="21"/>
                <w:szCs w:val="21"/>
              </w:rPr>
              <w:t>根据需要随时网上获取、识别更新，并通过培训、宣传、会议等形式传达给员工和相关方，各部门如有需要随时到</w:t>
            </w:r>
            <w:r>
              <w:rPr>
                <w:rFonts w:hint="eastAsia" w:ascii="宋体" w:hAnsi="宋体" w:cs="宋体"/>
                <w:sz w:val="21"/>
                <w:szCs w:val="21"/>
                <w:lang w:eastAsia="zh-CN"/>
              </w:rPr>
              <w:t>行政部</w:t>
            </w:r>
            <w:r>
              <w:rPr>
                <w:rFonts w:hint="eastAsia" w:ascii="宋体" w:hAnsi="宋体" w:eastAsia="宋体" w:cs="宋体"/>
                <w:sz w:val="21"/>
                <w:szCs w:val="21"/>
              </w:rPr>
              <w:t>查阅。</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trPr>
        <w:tc>
          <w:tcPr>
            <w:tcW w:w="1956" w:type="dxa"/>
            <w:vAlign w:val="center"/>
          </w:tcPr>
          <w:p>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措施的策划</w:t>
            </w:r>
          </w:p>
        </w:tc>
        <w:tc>
          <w:tcPr>
            <w:tcW w:w="1164" w:type="dxa"/>
            <w:vAlign w:val="center"/>
          </w:tcPr>
          <w:p>
            <w:pPr>
              <w:rPr>
                <w:rFonts w:hint="eastAsia" w:ascii="宋体" w:hAnsi="宋体" w:eastAsia="宋体" w:cs="宋体"/>
                <w:kern w:val="2"/>
                <w:sz w:val="24"/>
                <w:szCs w:val="24"/>
                <w:lang w:val="en-US" w:eastAsia="zh-CN" w:bidi="ar-SA"/>
              </w:rPr>
            </w:pPr>
            <w:r>
              <w:rPr>
                <w:rFonts w:hint="eastAsia" w:ascii="宋体" w:hAnsi="宋体" w:eastAsia="宋体" w:cs="宋体"/>
                <w:szCs w:val="21"/>
              </w:rPr>
              <w:t>E</w:t>
            </w:r>
            <w:r>
              <w:rPr>
                <w:rFonts w:hint="eastAsia" w:ascii="宋体" w:hAnsi="宋体" w:eastAsia="宋体" w:cs="宋体"/>
                <w:szCs w:val="21"/>
                <w:lang w:val="en-US" w:eastAsia="zh-CN"/>
              </w:rPr>
              <w:t>O</w:t>
            </w:r>
            <w:r>
              <w:rPr>
                <w:rFonts w:hint="eastAsia" w:ascii="宋体" w:hAnsi="宋体" w:eastAsia="宋体" w:cs="宋体"/>
                <w:szCs w:val="21"/>
              </w:rPr>
              <w:t>：6.1.4</w:t>
            </w:r>
          </w:p>
        </w:tc>
        <w:tc>
          <w:tcPr>
            <w:tcW w:w="11012" w:type="dxa"/>
            <w:vAlign w:val="center"/>
          </w:tcPr>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司根据环境因素和危险源的风险辨识结果，分别制定出“重要环境因素清单”、“重大危险源清单”，清单内明确了控制措施计划，通过具体的措施进行有效控制：目标、管理方案、管理制度运行控制、应急预案、日常检查、日常培训。</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制定了《法律法规和其他要求获取、确认及合规性评价程序》、《产品监测及绩效监测控制程序》，每年对公司适用的合规义务进行识别更新并定期评价、检查。</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经组织评价，组织策划的措施基本能够满足风险和机遇应对需要，能够与识别的风险和机遇对产品符合性的潜在影响相适应，基本满足标准要求。</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1956" w:type="dxa"/>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合规性评价</w:t>
            </w:r>
          </w:p>
        </w:tc>
        <w:tc>
          <w:tcPr>
            <w:tcW w:w="1164" w:type="dxa"/>
            <w:vAlign w:val="center"/>
          </w:tcPr>
          <w:p>
            <w:pPr>
              <w:spacing w:line="360" w:lineRule="auto"/>
              <w:rPr>
                <w:rFonts w:hint="eastAsia" w:ascii="宋体" w:hAnsi="宋体" w:eastAsia="宋体" w:cs="宋体"/>
                <w:bCs/>
                <w:kern w:val="2"/>
                <w:sz w:val="24"/>
                <w:szCs w:val="24"/>
                <w:lang w:val="en-US" w:eastAsia="zh-CN" w:bidi="ar-SA"/>
              </w:rPr>
            </w:pPr>
            <w:r>
              <w:rPr>
                <w:rFonts w:hint="eastAsia" w:ascii="宋体" w:hAnsi="宋体" w:eastAsia="宋体" w:cs="宋体"/>
                <w:szCs w:val="21"/>
                <w:lang w:val="en-US" w:eastAsia="zh-CN"/>
              </w:rPr>
              <w:t>O</w:t>
            </w:r>
            <w:r>
              <w:rPr>
                <w:rFonts w:hint="eastAsia" w:ascii="宋体" w:hAnsi="宋体" w:eastAsia="宋体" w:cs="宋体"/>
                <w:szCs w:val="21"/>
              </w:rPr>
              <w:t xml:space="preserve">：9.1.2 </w:t>
            </w:r>
          </w:p>
        </w:tc>
        <w:tc>
          <w:tcPr>
            <w:tcW w:w="11012"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公司制定了：《合规性评价程序》，</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环境法律法规及其他要求合规性评价记录表”，对公司适用的法律法规和其他要求进行了评价，全部符合要求。评价结果表明，通过评价，评价组对本公司适用法律法规及其他要求进行了合规性评价，发现有些情况与法律法规不符合，已经下达不合格报告，要求责任部门尽快整改，通过审核，发现有的部门对于适用的法律法规学习不够，对职业健康安全因素的识别和评价方法不能熟练运用。在</w:t>
            </w:r>
            <w:r>
              <w:rPr>
                <w:rFonts w:hint="eastAsia" w:ascii="宋体" w:hAnsi="宋体" w:eastAsia="宋体" w:cs="宋体"/>
                <w:sz w:val="21"/>
                <w:szCs w:val="21"/>
                <w:lang w:eastAsia="zh-CN"/>
              </w:rPr>
              <w:t>行政部</w:t>
            </w:r>
            <w:r>
              <w:rPr>
                <w:rFonts w:hint="eastAsia" w:ascii="宋体" w:hAnsi="宋体" w:eastAsia="宋体" w:cs="宋体"/>
                <w:sz w:val="21"/>
                <w:szCs w:val="21"/>
              </w:rPr>
              <w:t>组织下，对有关部门进行了法律法规标准的培训，加强了学习。从整体情况来看，我公司能够自觉遵守法律法规和标准的要求，没有严重违反国家法律法规的情况发生，也能够满足公司环境、职业健康安全方针的要求。对法律法规及其他要求的符合性情况较好。</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查“适用职业健康安全法律法规标准和其他要求合规性评价记录表”，对公司适用的法律法规和其他要求进行了评价，全部符合要求。</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956" w:type="dxa"/>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监视、测量、分析和评价</w:t>
            </w:r>
          </w:p>
        </w:tc>
        <w:tc>
          <w:tcPr>
            <w:tcW w:w="1164" w:type="dxa"/>
            <w:vAlign w:val="center"/>
          </w:tcPr>
          <w:p>
            <w:pPr>
              <w:tabs>
                <w:tab w:val="left" w:pos="6597"/>
              </w:tabs>
              <w:spacing w:line="360" w:lineRule="auto"/>
              <w:rPr>
                <w:rFonts w:hint="eastAsia" w:ascii="宋体" w:hAnsi="宋体" w:eastAsia="宋体" w:cs="宋体"/>
                <w:bCs/>
                <w:kern w:val="2"/>
                <w:sz w:val="24"/>
                <w:szCs w:val="24"/>
                <w:lang w:val="en-US" w:eastAsia="zh-CN" w:bidi="ar-SA"/>
              </w:rPr>
            </w:pPr>
            <w:r>
              <w:rPr>
                <w:rFonts w:hint="eastAsia" w:ascii="宋体" w:hAnsi="宋体" w:eastAsia="宋体" w:cs="宋体"/>
                <w:szCs w:val="21"/>
                <w:lang w:val="en-US" w:eastAsia="zh-CN"/>
              </w:rPr>
              <w:t>O</w:t>
            </w:r>
            <w:r>
              <w:rPr>
                <w:rFonts w:hint="eastAsia" w:ascii="宋体" w:hAnsi="宋体" w:eastAsia="宋体" w:cs="宋体"/>
                <w:szCs w:val="21"/>
              </w:rPr>
              <w:t>：9.1.1</w:t>
            </w:r>
            <w:r>
              <w:rPr>
                <w:rFonts w:hint="eastAsia" w:ascii="宋体" w:hAnsi="宋体" w:eastAsia="宋体" w:cs="宋体"/>
                <w:bCs/>
                <w:sz w:val="24"/>
                <w:szCs w:val="24"/>
              </w:rPr>
              <w:t xml:space="preserve"> </w:t>
            </w:r>
          </w:p>
        </w:tc>
        <w:tc>
          <w:tcPr>
            <w:tcW w:w="11012" w:type="dxa"/>
            <w:vAlign w:val="center"/>
          </w:tcPr>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公司编制《产品监测及绩效监测控制程序》，部门通过月度巡查考核对各部门进行监控。</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司对需要监视和测量的对象的确定，监视、测量、分析和评价方法的选择，实施监视和测量的时机、实施分析和评价的时机界定，QMS的绩效和有效性的评价方法的采用及有关监视和测量记录的保留等要求予以较清楚的策划和确定，详见相关程序文件及监视、测量、分析和评价的实施计划。</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如：（1）《监视和测量</w:t>
            </w:r>
            <w:r>
              <w:rPr>
                <w:rFonts w:hint="eastAsia" w:ascii="宋体" w:hAnsi="宋体" w:eastAsia="宋体" w:cs="宋体"/>
                <w:sz w:val="21"/>
                <w:szCs w:val="21"/>
                <w:lang w:val="en-US" w:eastAsia="zh-CN"/>
              </w:rPr>
              <w:t>设备控制程序</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（2）《内部审核</w:t>
            </w:r>
            <w:r>
              <w:rPr>
                <w:rFonts w:hint="eastAsia" w:ascii="宋体" w:hAnsi="宋体" w:eastAsia="宋体" w:cs="宋体"/>
                <w:sz w:val="21"/>
                <w:szCs w:val="21"/>
                <w:lang w:val="en-US" w:eastAsia="zh-CN"/>
              </w:rPr>
              <w:t>控制程序</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（3）《管理评审</w:t>
            </w:r>
            <w:r>
              <w:rPr>
                <w:rFonts w:hint="eastAsia" w:ascii="宋体" w:hAnsi="宋体" w:eastAsia="宋体" w:cs="宋体"/>
                <w:sz w:val="21"/>
                <w:szCs w:val="21"/>
                <w:lang w:val="en-US" w:eastAsia="zh-CN"/>
              </w:rPr>
              <w:t>控制程序</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（4）《应急</w:t>
            </w:r>
            <w:r>
              <w:rPr>
                <w:rFonts w:hint="eastAsia" w:ascii="宋体" w:hAnsi="宋体" w:eastAsia="宋体" w:cs="宋体"/>
                <w:sz w:val="21"/>
                <w:szCs w:val="21"/>
                <w:lang w:val="en-US" w:eastAsia="zh-CN"/>
              </w:rPr>
              <w:t>准备与</w:t>
            </w:r>
            <w:r>
              <w:rPr>
                <w:rFonts w:hint="eastAsia" w:ascii="宋体" w:hAnsi="宋体" w:eastAsia="宋体" w:cs="宋体"/>
                <w:sz w:val="21"/>
                <w:szCs w:val="21"/>
              </w:rPr>
              <w:t>响应</w:t>
            </w:r>
            <w:r>
              <w:rPr>
                <w:rFonts w:hint="eastAsia" w:ascii="宋体" w:hAnsi="宋体" w:eastAsia="宋体" w:cs="宋体"/>
                <w:sz w:val="21"/>
                <w:szCs w:val="21"/>
                <w:lang w:val="en-US" w:eastAsia="zh-CN"/>
              </w:rPr>
              <w:t>控制程序</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（5）《合规性评价控制程序》</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经交流确认，公司无安全、环境检测设备。</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经交流确认，公司员工不涉及职业病。</w:t>
            </w:r>
          </w:p>
        </w:tc>
        <w:tc>
          <w:tcPr>
            <w:tcW w:w="577" w:type="dxa"/>
          </w:tcPr>
          <w:p>
            <w:pP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1956" w:type="dxa"/>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运行策划和控制</w:t>
            </w:r>
          </w:p>
        </w:tc>
        <w:tc>
          <w:tcPr>
            <w:tcW w:w="1164" w:type="dxa"/>
            <w:vAlign w:val="center"/>
          </w:tcPr>
          <w:p>
            <w:pPr>
              <w:tabs>
                <w:tab w:val="left" w:pos="6597"/>
              </w:tabs>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O：8.1 </w:t>
            </w:r>
          </w:p>
          <w:p>
            <w:pPr>
              <w:tabs>
                <w:tab w:val="left" w:pos="6597"/>
              </w:tabs>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1"/>
                <w:lang w:val="en-US" w:eastAsia="zh-CN"/>
              </w:rPr>
              <w:t>财务支持</w:t>
            </w:r>
          </w:p>
        </w:tc>
        <w:tc>
          <w:tcPr>
            <w:tcW w:w="11012" w:type="dxa"/>
            <w:vAlign w:val="center"/>
          </w:tcPr>
          <w:p>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公司制定并实施了《节约能源资源管理办法》、《火灾应急响应规范》、《消防安全管理程序》、《能源资源管理程序》、《固体废弃物控制程序》、《环境保护管理办法》、《劳保、消防用品管理办法》、《职工安全守则》、《相关方管理程序》、等环境与职业健康安全控制程序和管理制度。</w:t>
            </w:r>
          </w:p>
          <w:p>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eastAsia="zh-CN"/>
              </w:rPr>
              <w:t>行政部</w:t>
            </w:r>
            <w:r>
              <w:rPr>
                <w:rFonts w:hint="eastAsia" w:ascii="宋体" w:hAnsi="宋体" w:eastAsia="宋体" w:cs="宋体"/>
                <w:sz w:val="21"/>
                <w:szCs w:val="21"/>
              </w:rPr>
              <w:t>定期组织环保和安全知识培训，员工具备了基本的环保和职业健康安全防护意识。</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查财务支出，公司为环境和职业健康安全管理体系的运行，及时提供了财务资金支持，主要用于培训、垃圾处理、保险、劳保用品等，20</w:t>
            </w:r>
            <w:r>
              <w:rPr>
                <w:rFonts w:hint="eastAsia" w:ascii="宋体" w:hAnsi="宋体" w:cs="宋体"/>
                <w:sz w:val="21"/>
                <w:szCs w:val="21"/>
                <w:lang w:val="en-US" w:eastAsia="zh-CN"/>
              </w:rPr>
              <w:t>20</w:t>
            </w:r>
            <w:r>
              <w:rPr>
                <w:rFonts w:hint="eastAsia" w:ascii="宋体" w:hAnsi="宋体" w:eastAsia="宋体" w:cs="宋体"/>
                <w:sz w:val="21"/>
                <w:szCs w:val="21"/>
              </w:rPr>
              <w:t>.</w:t>
            </w:r>
            <w:r>
              <w:rPr>
                <w:rFonts w:hint="eastAsia" w:ascii="宋体" w:hAnsi="宋体" w:cs="宋体"/>
                <w:sz w:val="21"/>
                <w:szCs w:val="21"/>
                <w:lang w:val="en-US" w:eastAsia="zh-CN"/>
              </w:rPr>
              <w:t>1</w:t>
            </w:r>
            <w:r>
              <w:rPr>
                <w:rFonts w:hint="eastAsia" w:ascii="宋体" w:hAnsi="宋体" w:eastAsia="宋体" w:cs="宋体"/>
                <w:sz w:val="21"/>
                <w:szCs w:val="21"/>
              </w:rPr>
              <w:t>.</w:t>
            </w:r>
            <w:r>
              <w:rPr>
                <w:rFonts w:hint="eastAsia" w:ascii="宋体" w:hAnsi="宋体" w:cs="宋体"/>
                <w:sz w:val="21"/>
                <w:szCs w:val="21"/>
                <w:lang w:val="en-US" w:eastAsia="zh-CN"/>
              </w:rPr>
              <w:t>5</w:t>
            </w:r>
            <w:r>
              <w:rPr>
                <w:rFonts w:hint="eastAsia" w:ascii="宋体" w:hAnsi="宋体" w:eastAsia="宋体" w:cs="宋体"/>
                <w:sz w:val="21"/>
                <w:szCs w:val="21"/>
              </w:rPr>
              <w:t>日统计支出约</w:t>
            </w:r>
            <w:r>
              <w:rPr>
                <w:rFonts w:hint="eastAsia" w:ascii="宋体" w:hAnsi="宋体" w:cs="宋体"/>
                <w:sz w:val="21"/>
                <w:szCs w:val="21"/>
                <w:lang w:val="en-US" w:eastAsia="zh-CN"/>
              </w:rPr>
              <w:t>2</w:t>
            </w:r>
            <w:r>
              <w:rPr>
                <w:rFonts w:hint="eastAsia" w:ascii="宋体" w:hAnsi="宋体" w:eastAsia="宋体" w:cs="宋体"/>
                <w:sz w:val="21"/>
                <w:szCs w:val="21"/>
              </w:rPr>
              <w:t>万元。</w:t>
            </w:r>
          </w:p>
          <w:p>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eastAsia="zh-CN"/>
              </w:rPr>
              <w:t>行政部</w:t>
            </w:r>
            <w:r>
              <w:rPr>
                <w:rFonts w:hint="eastAsia" w:ascii="宋体" w:hAnsi="宋体" w:eastAsia="宋体" w:cs="宋体"/>
                <w:sz w:val="21"/>
                <w:szCs w:val="21"/>
              </w:rPr>
              <w:t>内主要是电的使用，安装有漏电保护器，现场巡视办公区域电线、电气插座完整，未见隐患。</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办公纸张尽量采取双面打印，人走灯灭，定期检查水管跑冒滴漏。</w:t>
            </w:r>
          </w:p>
          <w:p>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eastAsia="zh-CN"/>
              </w:rPr>
              <w:t>行政部</w:t>
            </w:r>
            <w:r>
              <w:rPr>
                <w:rFonts w:hint="eastAsia" w:ascii="宋体" w:hAnsi="宋体" w:eastAsia="宋体" w:cs="宋体"/>
                <w:sz w:val="21"/>
                <w:szCs w:val="21"/>
              </w:rPr>
              <w:t>垃圾主要包含可回收垃圾、硒鼓、废纸。配置了垃圾筒，</w:t>
            </w:r>
            <w:r>
              <w:rPr>
                <w:rFonts w:hint="eastAsia" w:ascii="宋体" w:hAnsi="宋体" w:cs="宋体"/>
                <w:sz w:val="21"/>
                <w:szCs w:val="21"/>
                <w:lang w:eastAsia="zh-CN"/>
              </w:rPr>
              <w:t>行政部（财政部）</w:t>
            </w:r>
            <w:r>
              <w:rPr>
                <w:rFonts w:hint="eastAsia" w:ascii="宋体" w:hAnsi="宋体" w:eastAsia="宋体" w:cs="宋体"/>
                <w:sz w:val="21"/>
                <w:szCs w:val="21"/>
              </w:rPr>
              <w:t>统一处理。</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对可回收的固体废弃物，一部分由厂家回收，厂家不回收的公司统一回收再利用或由物资回收公司处理。不可回收的废弃物由公司</w:t>
            </w:r>
            <w:r>
              <w:rPr>
                <w:rFonts w:hint="eastAsia" w:ascii="宋体" w:hAnsi="宋体" w:cs="宋体"/>
                <w:sz w:val="21"/>
                <w:szCs w:val="21"/>
                <w:lang w:eastAsia="zh-CN"/>
              </w:rPr>
              <w:t>行政部（财政部）</w:t>
            </w:r>
            <w:r>
              <w:rPr>
                <w:rFonts w:hint="eastAsia" w:ascii="宋体" w:hAnsi="宋体" w:eastAsia="宋体" w:cs="宋体"/>
                <w:sz w:val="21"/>
                <w:szCs w:val="21"/>
              </w:rPr>
              <w:t>统一处理，各部门不得单独处理。</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查到“废弃物处置统计表”，记录了日常生活、办公过程中的可回收及不可回收的废弃物的处理情况。</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部门运行控制基本符合规定要求。</w:t>
            </w:r>
          </w:p>
        </w:tc>
        <w:tc>
          <w:tcPr>
            <w:tcW w:w="577" w:type="dxa"/>
          </w:tcPr>
          <w:p>
            <w:pPr>
              <w:rPr>
                <w:rFonts w:hint="eastAsia" w:ascii="宋体" w:hAnsi="宋体" w:eastAsia="宋体" w:cs="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8" w:hRule="atLeast"/>
        </w:trPr>
        <w:tc>
          <w:tcPr>
            <w:tcW w:w="1956" w:type="dxa"/>
            <w:vAlign w:val="center"/>
          </w:tcPr>
          <w:p>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应急准备和响应</w:t>
            </w:r>
          </w:p>
        </w:tc>
        <w:tc>
          <w:tcPr>
            <w:tcW w:w="1164" w:type="dxa"/>
            <w:vAlign w:val="top"/>
          </w:tcPr>
          <w:p>
            <w:pPr>
              <w:spacing w:line="360" w:lineRule="auto"/>
              <w:ind w:firstLine="480" w:firstLineChars="200"/>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lang w:val="en-US" w:eastAsia="zh-CN"/>
              </w:rPr>
              <w:t>O</w:t>
            </w:r>
            <w:r>
              <w:rPr>
                <w:rFonts w:hint="eastAsia" w:ascii="宋体" w:hAnsi="宋体" w:eastAsia="宋体" w:cs="宋体"/>
                <w:sz w:val="24"/>
                <w:szCs w:val="24"/>
              </w:rPr>
              <w:t xml:space="preserve">：8.2 </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lang w:val="en-US" w:eastAsia="zh-CN"/>
              </w:rPr>
            </w:pPr>
          </w:p>
        </w:tc>
        <w:tc>
          <w:tcPr>
            <w:tcW w:w="11012" w:type="dxa"/>
            <w:vAlign w:val="top"/>
          </w:tcPr>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rPr>
              <w:t>查</w:t>
            </w:r>
            <w:r>
              <w:rPr>
                <w:rFonts w:hint="eastAsia" w:ascii="宋体" w:hAnsi="宋体" w:eastAsia="宋体" w:cs="宋体"/>
                <w:sz w:val="21"/>
                <w:szCs w:val="21"/>
                <w:lang w:eastAsia="zh-CN"/>
              </w:rPr>
              <w:t>20</w:t>
            </w:r>
            <w:r>
              <w:rPr>
                <w:rFonts w:hint="eastAsia" w:ascii="宋体" w:hAnsi="宋体" w:eastAsia="宋体" w:cs="宋体"/>
                <w:sz w:val="21"/>
                <w:szCs w:val="21"/>
                <w:lang w:val="en-US" w:eastAsia="zh-CN"/>
              </w:rPr>
              <w:t>20</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3月20日</w:t>
            </w:r>
            <w:r>
              <w:rPr>
                <w:rFonts w:hint="eastAsia" w:ascii="宋体" w:hAnsi="宋体" w:eastAsia="宋体" w:cs="宋体"/>
                <w:sz w:val="21"/>
                <w:szCs w:val="21"/>
              </w:rPr>
              <w:t>进行的“</w:t>
            </w:r>
            <w:r>
              <w:rPr>
                <w:rFonts w:hint="eastAsia" w:ascii="宋体" w:hAnsi="宋体" w:cs="宋体"/>
                <w:sz w:val="21"/>
                <w:szCs w:val="21"/>
                <w:lang w:val="en-US" w:eastAsia="zh-CN"/>
              </w:rPr>
              <w:t>火</w:t>
            </w:r>
            <w:r>
              <w:rPr>
                <w:rFonts w:hint="eastAsia" w:ascii="宋体" w:hAnsi="宋体" w:eastAsia="宋体" w:cs="宋体"/>
                <w:sz w:val="21"/>
                <w:szCs w:val="21"/>
                <w:lang w:val="en-US" w:eastAsia="zh-CN"/>
              </w:rPr>
              <w:t>灾</w:t>
            </w:r>
            <w:r>
              <w:rPr>
                <w:rFonts w:hint="eastAsia" w:ascii="宋体" w:hAnsi="宋体" w:eastAsia="宋体" w:cs="宋体"/>
                <w:sz w:val="21"/>
                <w:szCs w:val="21"/>
                <w:lang w:eastAsia="zh-CN"/>
              </w:rPr>
              <w:t>应急预案演练记录”，包括预案名称：</w:t>
            </w:r>
            <w:r>
              <w:rPr>
                <w:rFonts w:hint="eastAsia" w:ascii="宋体" w:hAnsi="宋体" w:eastAsia="宋体" w:cs="宋体"/>
                <w:sz w:val="21"/>
                <w:szCs w:val="21"/>
                <w:lang w:val="en-US" w:eastAsia="zh-CN"/>
              </w:rPr>
              <w:t>火灾</w:t>
            </w:r>
            <w:r>
              <w:rPr>
                <w:rFonts w:hint="eastAsia" w:ascii="宋体" w:hAnsi="宋体" w:eastAsia="宋体" w:cs="宋体"/>
                <w:sz w:val="21"/>
                <w:szCs w:val="21"/>
                <w:lang w:eastAsia="zh-CN"/>
              </w:rPr>
              <w:t>应急预案演练记录；组织部门：</w:t>
            </w:r>
            <w:r>
              <w:rPr>
                <w:rFonts w:hint="eastAsia" w:ascii="宋体" w:hAnsi="宋体" w:eastAsia="宋体" w:cs="宋体"/>
                <w:sz w:val="21"/>
                <w:szCs w:val="21"/>
                <w:lang w:val="en-US" w:eastAsia="zh-CN"/>
              </w:rPr>
              <w:t>行政部（财政部）</w:t>
            </w:r>
            <w:r>
              <w:rPr>
                <w:rFonts w:hint="eastAsia" w:ascii="宋体" w:hAnsi="宋体" w:eastAsia="宋体" w:cs="宋体"/>
                <w:sz w:val="21"/>
                <w:szCs w:val="21"/>
                <w:lang w:eastAsia="zh-CN"/>
              </w:rPr>
              <w:t>；总指挥：周洪勇；</w:t>
            </w:r>
            <w:r>
              <w:rPr>
                <w:rFonts w:hint="eastAsia" w:ascii="宋体" w:hAnsi="宋体" w:eastAsia="宋体" w:cs="宋体"/>
                <w:sz w:val="21"/>
                <w:szCs w:val="21"/>
                <w:lang w:val="en-US" w:eastAsia="zh-CN"/>
              </w:rPr>
              <w:t>全体员工</w:t>
            </w:r>
            <w:r>
              <w:rPr>
                <w:rFonts w:hint="eastAsia" w:ascii="宋体" w:hAnsi="宋体" w:eastAsia="宋体" w:cs="宋体"/>
                <w:sz w:val="21"/>
                <w:szCs w:val="21"/>
                <w:lang w:eastAsia="zh-CN"/>
              </w:rPr>
              <w:t>参加，演练部分：灭火器使用，初期火灾扑灭；另外还记录了物资准备和人员培训情况、现场培训、演练过程描述等内容。</w:t>
            </w:r>
          </w:p>
          <w:p>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color w:val="FF0000"/>
                <w:sz w:val="21"/>
                <w:szCs w:val="21"/>
              </w:rPr>
              <w:t>现场查看办公</w:t>
            </w:r>
            <w:r>
              <w:rPr>
                <w:rFonts w:hint="eastAsia" w:ascii="宋体" w:hAnsi="宋体" w:eastAsia="宋体" w:cs="宋体"/>
                <w:color w:val="FF0000"/>
                <w:sz w:val="21"/>
                <w:szCs w:val="21"/>
                <w:lang w:val="en-US" w:eastAsia="zh-CN"/>
              </w:rPr>
              <w:t>区域</w:t>
            </w:r>
            <w:r>
              <w:rPr>
                <w:rFonts w:hint="eastAsia" w:ascii="宋体" w:hAnsi="宋体" w:eastAsia="宋体" w:cs="宋体"/>
                <w:color w:val="FF0000"/>
                <w:sz w:val="21"/>
                <w:szCs w:val="21"/>
              </w:rPr>
              <w:t>内没有配备消防设施，不符合要求，开具了不符合报告。</w:t>
            </w:r>
          </w:p>
          <w:p>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演练后对应急预案进行了评审，评审结论：演练后，根据演练情况，认为应急预案与本公司情况基本符合，具有可操作性，暂不用修订。</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2020年2月，针对新冠肺炎</w:t>
            </w:r>
            <w:r>
              <w:rPr>
                <w:rFonts w:hint="eastAsia" w:ascii="宋体" w:hAnsi="宋体" w:cs="宋体"/>
                <w:sz w:val="21"/>
                <w:szCs w:val="21"/>
                <w:lang w:val="en-US" w:eastAsia="zh-CN"/>
              </w:rPr>
              <w:t>疫情</w:t>
            </w:r>
            <w:r>
              <w:rPr>
                <w:rFonts w:hint="eastAsia" w:ascii="宋体" w:hAnsi="宋体" w:eastAsia="宋体" w:cs="宋体"/>
                <w:sz w:val="21"/>
                <w:szCs w:val="21"/>
                <w:lang w:val="en-US" w:eastAsia="zh-CN"/>
              </w:rPr>
              <w:t>公司制定了管理制度</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包括：口罩发放、消杀消毒频次及记录等。</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rPr>
              <w:t>自体系运行以来尚未发生紧急情况。</w:t>
            </w:r>
          </w:p>
        </w:tc>
        <w:tc>
          <w:tcPr>
            <w:tcW w:w="577" w:type="dxa"/>
          </w:tcPr>
          <w:p>
            <w:pPr>
              <w:rPr>
                <w:rFonts w:hint="eastAsia" w:ascii="宋体" w:hAnsi="宋体" w:eastAsia="宋体" w:cs="宋体"/>
              </w:rPr>
            </w:pPr>
          </w:p>
          <w:p>
            <w:pPr>
              <w:pStyle w:val="2"/>
              <w:tabs>
                <w:tab w:val="left" w:pos="3510"/>
                <w:tab w:val="left" w:pos="3585"/>
                <w:tab w:val="center" w:pos="4410"/>
                <w:tab w:val="left" w:pos="4620"/>
                <w:tab w:val="left" w:pos="4830"/>
                <w:tab w:val="left" w:pos="5580"/>
              </w:tabs>
              <w:rPr>
                <w:rFonts w:hint="eastAsia" w:ascii="宋体" w:hAnsi="宋体" w:eastAsia="宋体" w:cs="宋体"/>
                <w:sz w:val="30"/>
                <w:szCs w:val="30"/>
                <w:lang w:val="en-US" w:eastAsia="zh-CN"/>
              </w:rPr>
            </w:pPr>
          </w:p>
          <w:p>
            <w:pPr>
              <w:pStyle w:val="3"/>
              <w:rPr>
                <w:rFonts w:hint="eastAsia"/>
                <w:lang w:val="en-US" w:eastAsia="zh-CN"/>
              </w:rPr>
            </w:pPr>
          </w:p>
          <w:p>
            <w:pPr>
              <w:pStyle w:val="2"/>
              <w:tabs>
                <w:tab w:val="left" w:pos="3510"/>
                <w:tab w:val="left" w:pos="3585"/>
                <w:tab w:val="center" w:pos="4410"/>
                <w:tab w:val="left" w:pos="4620"/>
                <w:tab w:val="left" w:pos="4830"/>
                <w:tab w:val="left" w:pos="5580"/>
              </w:tabs>
              <w:rPr>
                <w:rFonts w:hint="eastAsia" w:ascii="宋体" w:hAnsi="宋体" w:eastAsia="宋体" w:cs="宋体"/>
                <w:sz w:val="30"/>
                <w:szCs w:val="30"/>
                <w:lang w:val="en-US" w:eastAsia="zh-CN"/>
              </w:rPr>
            </w:pPr>
          </w:p>
          <w:p>
            <w:pPr>
              <w:pStyle w:val="2"/>
              <w:tabs>
                <w:tab w:val="left" w:pos="3510"/>
                <w:tab w:val="left" w:pos="3585"/>
                <w:tab w:val="center" w:pos="4410"/>
                <w:tab w:val="left" w:pos="4620"/>
                <w:tab w:val="left" w:pos="4830"/>
                <w:tab w:val="left" w:pos="5580"/>
              </w:tabs>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N</w:t>
            </w:r>
          </w:p>
          <w:p>
            <w:pPr>
              <w:pStyle w:val="3"/>
              <w:rPr>
                <w:rFonts w:hint="eastAsia" w:ascii="宋体" w:hAnsi="宋体" w:eastAsia="宋体" w:cs="宋体"/>
                <w:color w:val="000000" w:themeColor="text1"/>
              </w:rPr>
            </w:pPr>
          </w:p>
          <w:p>
            <w:pPr>
              <w:pStyle w:val="3"/>
              <w:rPr>
                <w:rFonts w:hint="eastAsia" w:ascii="宋体" w:hAnsi="宋体" w:eastAsia="宋体" w:cs="宋体"/>
                <w:color w:val="000000" w:themeColor="text1"/>
              </w:rPr>
            </w:pPr>
          </w:p>
          <w:p>
            <w:pPr>
              <w:pStyle w:val="3"/>
              <w:rPr>
                <w:rFonts w:hint="eastAsia" w:ascii="宋体" w:hAnsi="宋体" w:eastAsia="宋体" w:cs="宋体"/>
                <w:color w:val="000000" w:themeColor="text1"/>
              </w:rPr>
            </w:pPr>
          </w:p>
          <w:p>
            <w:pPr>
              <w:pStyle w:val="3"/>
              <w:rPr>
                <w:rFonts w:hint="eastAsia" w:ascii="宋体" w:hAnsi="宋体" w:eastAsia="宋体" w:cs="宋体"/>
                <w:color w:val="000000" w:themeColor="text1"/>
              </w:rPr>
            </w:pPr>
          </w:p>
          <w:p>
            <w:pPr>
              <w:pStyle w:val="3"/>
              <w:rPr>
                <w:rFonts w:hint="eastAsia" w:ascii="宋体" w:hAnsi="宋体" w:eastAsia="宋体" w:cs="宋体"/>
                <w:color w:val="000000" w:themeColor="text1"/>
              </w:rPr>
            </w:pPr>
          </w:p>
        </w:tc>
      </w:tr>
    </w:tbl>
    <w:p>
      <w:pPr>
        <w:pStyle w:val="8"/>
      </w:pPr>
      <w:r>
        <w:rPr>
          <w:rFonts w:hint="eastAsia"/>
        </w:rPr>
        <w:t>说明：不符合标注N</w:t>
      </w:r>
    </w:p>
    <w:p>
      <w:pPr>
        <w:pStyle w:val="8"/>
        <w:ind w:firstLine="5400" w:firstLineChars="1500"/>
        <w:rPr>
          <w:rFonts w:hint="eastAsia" w:ascii="隶书" w:hAnsi="宋体" w:eastAsia="隶书"/>
          <w:bCs/>
          <w:color w:val="000000"/>
          <w:sz w:val="36"/>
          <w:szCs w:val="36"/>
        </w:rPr>
      </w:pPr>
      <w:bookmarkStart w:id="0" w:name="_GoBack"/>
      <w:bookmarkEnd w:id="0"/>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隶书">
    <w:altName w:val="微软雅黑"/>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left" w:pos="8910"/>
        <w:tab w:val="left" w:pos="9142"/>
        <w:tab w:val="clear" w:pos="4153"/>
      </w:tabs>
      <w:spacing w:line="320" w:lineRule="exact"/>
      <w:ind w:left="-86" w:leftChars="-41" w:firstLine="810" w:firstLineChars="450"/>
      <w:jc w:val="left"/>
      <w:rPr>
        <w:rStyle w:val="17"/>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7"/>
        <w:rFonts w:hint="default"/>
      </w:rPr>
      <w:t>北京国标联合认证有限公司</w:t>
    </w:r>
    <w:r>
      <w:rPr>
        <w:rStyle w:val="17"/>
        <w:rFonts w:hint="default"/>
      </w:rPr>
      <w:tab/>
    </w:r>
    <w:r>
      <w:rPr>
        <w:rStyle w:val="17"/>
        <w:rFonts w:hint="default"/>
      </w:rPr>
      <w:tab/>
    </w:r>
    <w:r>
      <w:rPr>
        <w:rStyle w:val="17"/>
        <w:rFonts w:hint="default"/>
      </w:rPr>
      <w:tab/>
    </w:r>
  </w:p>
  <w:p>
    <w:pPr>
      <w:pStyle w:val="9"/>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p/>
            </w:txbxContent>
          </v:textbox>
        </v:shape>
      </w:pict>
    </w:r>
    <w:r>
      <w:rPr>
        <w:rStyle w:val="17"/>
        <w:rFonts w:hint="default"/>
      </w:rPr>
      <w:t xml:space="preserve">        </w:t>
    </w:r>
    <w:r>
      <w:rPr>
        <w:rStyle w:val="17"/>
        <w:rFonts w:hint="default"/>
        <w:w w:val="90"/>
      </w:rPr>
      <w:t>Beijing International Standard united Certification Co.,Ltd.</w:t>
    </w:r>
    <w:r>
      <w:rPr>
        <w:rStyle w:val="17"/>
        <w:rFonts w:hint="default"/>
        <w:w w:val="90"/>
        <w:szCs w:val="21"/>
      </w:rPr>
      <w:t xml:space="preserve">  </w:t>
    </w:r>
    <w:r>
      <w:rPr>
        <w:rStyle w:val="17"/>
        <w:rFonts w:hint="default"/>
        <w:w w:val="90"/>
        <w:sz w:val="20"/>
      </w:rPr>
      <w:t xml:space="preserve"> </w:t>
    </w:r>
    <w:r>
      <w:rPr>
        <w:rStyle w:val="17"/>
        <w:rFonts w:hint="default"/>
        <w:w w:val="90"/>
      </w:rPr>
      <w:t xml:space="preserve">                   </w:t>
    </w:r>
  </w:p>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973B4"/>
    <w:rsid w:val="000237F6"/>
    <w:rsid w:val="0003373A"/>
    <w:rsid w:val="000C6DD5"/>
    <w:rsid w:val="00191322"/>
    <w:rsid w:val="001A2D7F"/>
    <w:rsid w:val="001C5D0F"/>
    <w:rsid w:val="00337922"/>
    <w:rsid w:val="00340867"/>
    <w:rsid w:val="00380837"/>
    <w:rsid w:val="003A198A"/>
    <w:rsid w:val="00410914"/>
    <w:rsid w:val="00536930"/>
    <w:rsid w:val="00545695"/>
    <w:rsid w:val="005524D9"/>
    <w:rsid w:val="00564E53"/>
    <w:rsid w:val="00644FE2"/>
    <w:rsid w:val="0067640C"/>
    <w:rsid w:val="006E678B"/>
    <w:rsid w:val="007757F3"/>
    <w:rsid w:val="007E6AEB"/>
    <w:rsid w:val="008973EE"/>
    <w:rsid w:val="00971600"/>
    <w:rsid w:val="009973B4"/>
    <w:rsid w:val="009A2DE9"/>
    <w:rsid w:val="009C28C1"/>
    <w:rsid w:val="009F7EED"/>
    <w:rsid w:val="00AF0AAB"/>
    <w:rsid w:val="00BF597E"/>
    <w:rsid w:val="00C51A36"/>
    <w:rsid w:val="00C55228"/>
    <w:rsid w:val="00CE315A"/>
    <w:rsid w:val="00D06F59"/>
    <w:rsid w:val="00D8388C"/>
    <w:rsid w:val="00EB0164"/>
    <w:rsid w:val="00ED0F62"/>
    <w:rsid w:val="00FC354E"/>
    <w:rsid w:val="01486283"/>
    <w:rsid w:val="021416D8"/>
    <w:rsid w:val="03DC0FCC"/>
    <w:rsid w:val="04343D46"/>
    <w:rsid w:val="044D4B75"/>
    <w:rsid w:val="045B56B3"/>
    <w:rsid w:val="04BA6B7A"/>
    <w:rsid w:val="05CD7495"/>
    <w:rsid w:val="06433CF5"/>
    <w:rsid w:val="071800C4"/>
    <w:rsid w:val="083C5F43"/>
    <w:rsid w:val="08537734"/>
    <w:rsid w:val="08815A9C"/>
    <w:rsid w:val="08A81132"/>
    <w:rsid w:val="09525E59"/>
    <w:rsid w:val="0A2A7030"/>
    <w:rsid w:val="0AF255BC"/>
    <w:rsid w:val="0BEC1E27"/>
    <w:rsid w:val="0D3A6D3B"/>
    <w:rsid w:val="0D9D1D5C"/>
    <w:rsid w:val="0E897CBB"/>
    <w:rsid w:val="0EC76BFE"/>
    <w:rsid w:val="0ED96BB8"/>
    <w:rsid w:val="0F162D0F"/>
    <w:rsid w:val="108219C2"/>
    <w:rsid w:val="10BD58B0"/>
    <w:rsid w:val="10CC02BD"/>
    <w:rsid w:val="13EF2575"/>
    <w:rsid w:val="14791CEE"/>
    <w:rsid w:val="1493723D"/>
    <w:rsid w:val="156E2556"/>
    <w:rsid w:val="157849C1"/>
    <w:rsid w:val="15AD0276"/>
    <w:rsid w:val="17A24658"/>
    <w:rsid w:val="17E90890"/>
    <w:rsid w:val="186E7010"/>
    <w:rsid w:val="18833F23"/>
    <w:rsid w:val="19006116"/>
    <w:rsid w:val="192A3AB8"/>
    <w:rsid w:val="19921EE7"/>
    <w:rsid w:val="19E43C24"/>
    <w:rsid w:val="1A2C47DF"/>
    <w:rsid w:val="1A5805CF"/>
    <w:rsid w:val="1B846EE2"/>
    <w:rsid w:val="1BA92890"/>
    <w:rsid w:val="1BF467A1"/>
    <w:rsid w:val="1C701804"/>
    <w:rsid w:val="1CAE3BF5"/>
    <w:rsid w:val="1CB93E63"/>
    <w:rsid w:val="1D224A40"/>
    <w:rsid w:val="1D553A9B"/>
    <w:rsid w:val="1D557804"/>
    <w:rsid w:val="1DA96624"/>
    <w:rsid w:val="1E030800"/>
    <w:rsid w:val="1E4A1DDF"/>
    <w:rsid w:val="1EA12B27"/>
    <w:rsid w:val="1EBF7DFB"/>
    <w:rsid w:val="1F517785"/>
    <w:rsid w:val="1FCB2501"/>
    <w:rsid w:val="1FD6378B"/>
    <w:rsid w:val="2098573E"/>
    <w:rsid w:val="20DA078C"/>
    <w:rsid w:val="21D85A19"/>
    <w:rsid w:val="235E3FCA"/>
    <w:rsid w:val="23733683"/>
    <w:rsid w:val="246D2075"/>
    <w:rsid w:val="249D1B51"/>
    <w:rsid w:val="258C1377"/>
    <w:rsid w:val="25B63D74"/>
    <w:rsid w:val="26EF525E"/>
    <w:rsid w:val="272F0E48"/>
    <w:rsid w:val="27B32443"/>
    <w:rsid w:val="27F35084"/>
    <w:rsid w:val="28191FAD"/>
    <w:rsid w:val="28D83944"/>
    <w:rsid w:val="28FE2F29"/>
    <w:rsid w:val="2AC46F78"/>
    <w:rsid w:val="2AF844C7"/>
    <w:rsid w:val="2B2319C0"/>
    <w:rsid w:val="2C3A2852"/>
    <w:rsid w:val="2D546CAF"/>
    <w:rsid w:val="2D5E512C"/>
    <w:rsid w:val="2DA74856"/>
    <w:rsid w:val="2E5E2D23"/>
    <w:rsid w:val="2F5C7822"/>
    <w:rsid w:val="2FE52113"/>
    <w:rsid w:val="308A61A3"/>
    <w:rsid w:val="31631119"/>
    <w:rsid w:val="330904BA"/>
    <w:rsid w:val="345F4D69"/>
    <w:rsid w:val="34B30427"/>
    <w:rsid w:val="35EB5546"/>
    <w:rsid w:val="379B573F"/>
    <w:rsid w:val="37A51D10"/>
    <w:rsid w:val="3886580A"/>
    <w:rsid w:val="38E16034"/>
    <w:rsid w:val="399F0E61"/>
    <w:rsid w:val="39B0398A"/>
    <w:rsid w:val="3A135DBE"/>
    <w:rsid w:val="3B115DC4"/>
    <w:rsid w:val="3B227900"/>
    <w:rsid w:val="3B914646"/>
    <w:rsid w:val="3DB575F2"/>
    <w:rsid w:val="3FE4412B"/>
    <w:rsid w:val="40134513"/>
    <w:rsid w:val="40C4529F"/>
    <w:rsid w:val="41BF7F6C"/>
    <w:rsid w:val="424B7984"/>
    <w:rsid w:val="43613655"/>
    <w:rsid w:val="45256947"/>
    <w:rsid w:val="454511DF"/>
    <w:rsid w:val="458C0DD7"/>
    <w:rsid w:val="46C6402F"/>
    <w:rsid w:val="46FC186C"/>
    <w:rsid w:val="48E731AA"/>
    <w:rsid w:val="49046B1C"/>
    <w:rsid w:val="4AF12E50"/>
    <w:rsid w:val="4B8F4629"/>
    <w:rsid w:val="4D034732"/>
    <w:rsid w:val="4D226AAC"/>
    <w:rsid w:val="4DA45115"/>
    <w:rsid w:val="4E5655A5"/>
    <w:rsid w:val="4EA743E6"/>
    <w:rsid w:val="4FE0051C"/>
    <w:rsid w:val="505E674E"/>
    <w:rsid w:val="508A47E9"/>
    <w:rsid w:val="50D81641"/>
    <w:rsid w:val="50DE4DBD"/>
    <w:rsid w:val="51C3292E"/>
    <w:rsid w:val="51F65C49"/>
    <w:rsid w:val="52A87672"/>
    <w:rsid w:val="52D72799"/>
    <w:rsid w:val="52EA70C8"/>
    <w:rsid w:val="52F26A7F"/>
    <w:rsid w:val="54CA19B0"/>
    <w:rsid w:val="554E28FE"/>
    <w:rsid w:val="566C2870"/>
    <w:rsid w:val="57B57DBB"/>
    <w:rsid w:val="58993823"/>
    <w:rsid w:val="58DF190E"/>
    <w:rsid w:val="58F13324"/>
    <w:rsid w:val="59290530"/>
    <w:rsid w:val="59294936"/>
    <w:rsid w:val="59441620"/>
    <w:rsid w:val="5A287868"/>
    <w:rsid w:val="5B8E2D5D"/>
    <w:rsid w:val="5C0430D5"/>
    <w:rsid w:val="5CD91574"/>
    <w:rsid w:val="5D0E28AF"/>
    <w:rsid w:val="5E122349"/>
    <w:rsid w:val="5EA12B9A"/>
    <w:rsid w:val="5FD0322B"/>
    <w:rsid w:val="61495338"/>
    <w:rsid w:val="61A11EA0"/>
    <w:rsid w:val="62CB5E8E"/>
    <w:rsid w:val="62F25759"/>
    <w:rsid w:val="63511FA7"/>
    <w:rsid w:val="63663611"/>
    <w:rsid w:val="645158D0"/>
    <w:rsid w:val="6496711E"/>
    <w:rsid w:val="64B47601"/>
    <w:rsid w:val="64B52C73"/>
    <w:rsid w:val="64C75CF6"/>
    <w:rsid w:val="64E67A77"/>
    <w:rsid w:val="65631D09"/>
    <w:rsid w:val="65F3314E"/>
    <w:rsid w:val="6728581E"/>
    <w:rsid w:val="674B7AEA"/>
    <w:rsid w:val="67A07670"/>
    <w:rsid w:val="67B42CBD"/>
    <w:rsid w:val="68056E47"/>
    <w:rsid w:val="68194C3B"/>
    <w:rsid w:val="69372D96"/>
    <w:rsid w:val="69C55CFF"/>
    <w:rsid w:val="6A12542A"/>
    <w:rsid w:val="6B0274C2"/>
    <w:rsid w:val="6C4C3A45"/>
    <w:rsid w:val="6E311877"/>
    <w:rsid w:val="6E336B29"/>
    <w:rsid w:val="6EA2154F"/>
    <w:rsid w:val="6EC03E05"/>
    <w:rsid w:val="6ED45DD7"/>
    <w:rsid w:val="6ED464FA"/>
    <w:rsid w:val="6F4021E5"/>
    <w:rsid w:val="6FD51D0A"/>
    <w:rsid w:val="70E2745F"/>
    <w:rsid w:val="7111286E"/>
    <w:rsid w:val="713E1B08"/>
    <w:rsid w:val="71701991"/>
    <w:rsid w:val="71A150C1"/>
    <w:rsid w:val="72340CB9"/>
    <w:rsid w:val="72DE46DF"/>
    <w:rsid w:val="72F76EC7"/>
    <w:rsid w:val="730846B2"/>
    <w:rsid w:val="73186211"/>
    <w:rsid w:val="738956AE"/>
    <w:rsid w:val="7480693E"/>
    <w:rsid w:val="749004D4"/>
    <w:rsid w:val="74983E64"/>
    <w:rsid w:val="76073501"/>
    <w:rsid w:val="761A29D2"/>
    <w:rsid w:val="77107979"/>
    <w:rsid w:val="77144069"/>
    <w:rsid w:val="780B6495"/>
    <w:rsid w:val="7A8D6040"/>
    <w:rsid w:val="7BDD4178"/>
    <w:rsid w:val="7C5A28BF"/>
    <w:rsid w:val="7E42085A"/>
    <w:rsid w:val="7F542F90"/>
    <w:rsid w:val="7FC01F0E"/>
    <w:rsid w:val="7FD919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adjustRightInd w:val="0"/>
      <w:snapToGrid w:val="0"/>
      <w:spacing w:line="400" w:lineRule="atLeast"/>
      <w:ind w:right="48"/>
      <w:jc w:val="center"/>
      <w:textAlignment w:val="baseline"/>
      <w:outlineLvl w:val="1"/>
    </w:pPr>
    <w:rPr>
      <w:rFonts w:ascii="MingLiU" w:eastAsia="MingLiU"/>
      <w:kern w:val="0"/>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ody Text"/>
    <w:basedOn w:val="1"/>
    <w:unhideWhenUsed/>
    <w:qFormat/>
    <w:uiPriority w:val="99"/>
    <w:pPr>
      <w:spacing w:line="420" w:lineRule="exact"/>
    </w:pPr>
    <w:rPr>
      <w:sz w:val="24"/>
    </w:rPr>
  </w:style>
  <w:style w:type="paragraph" w:styleId="5">
    <w:name w:val="Body Text Indent"/>
    <w:basedOn w:val="1"/>
    <w:qFormat/>
    <w:uiPriority w:val="0"/>
    <w:pPr>
      <w:ind w:firstLine="480" w:firstLineChars="200"/>
    </w:pPr>
    <w:rPr>
      <w:sz w:val="24"/>
    </w:rPr>
  </w:style>
  <w:style w:type="paragraph" w:styleId="6">
    <w:name w:val="Plain Text"/>
    <w:basedOn w:val="1"/>
    <w:qFormat/>
    <w:uiPriority w:val="0"/>
    <w:rPr>
      <w:rFonts w:ascii="宋体" w:hAnsi="Courier New"/>
    </w:r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表格文字"/>
    <w:basedOn w:val="1"/>
    <w:qFormat/>
    <w:uiPriority w:val="0"/>
    <w:pPr>
      <w:spacing w:before="25" w:after="25"/>
    </w:pPr>
    <w:rPr>
      <w:bCs/>
      <w:spacing w:val="10"/>
    </w:rPr>
  </w:style>
  <w:style w:type="character" w:customStyle="1" w:styleId="14">
    <w:name w:val="页眉 Char"/>
    <w:basedOn w:val="12"/>
    <w:link w:val="9"/>
    <w:qFormat/>
    <w:uiPriority w:val="99"/>
    <w:rPr>
      <w:rFonts w:ascii="Times New Roman" w:hAnsi="Times New Roman" w:eastAsia="宋体" w:cs="Times New Roman"/>
      <w:sz w:val="18"/>
      <w:szCs w:val="18"/>
    </w:rPr>
  </w:style>
  <w:style w:type="character" w:customStyle="1" w:styleId="15">
    <w:name w:val="页脚 Char"/>
    <w:basedOn w:val="12"/>
    <w:link w:val="8"/>
    <w:qFormat/>
    <w:uiPriority w:val="99"/>
    <w:rPr>
      <w:rFonts w:ascii="Times New Roman" w:hAnsi="Times New Roman" w:eastAsia="宋体" w:cs="Times New Roman"/>
      <w:sz w:val="18"/>
      <w:szCs w:val="18"/>
    </w:rPr>
  </w:style>
  <w:style w:type="character" w:customStyle="1" w:styleId="16">
    <w:name w:val="批注框文本 Char"/>
    <w:basedOn w:val="12"/>
    <w:link w:val="7"/>
    <w:semiHidden/>
    <w:qFormat/>
    <w:uiPriority w:val="99"/>
    <w:rPr>
      <w:rFonts w:ascii="Times New Roman" w:hAnsi="Times New Roman" w:eastAsia="宋体" w:cs="Times New Roman"/>
      <w:sz w:val="18"/>
      <w:szCs w:val="18"/>
    </w:rPr>
  </w:style>
  <w:style w:type="character" w:customStyle="1" w:styleId="17">
    <w:name w:val="Char Char1"/>
    <w:qFormat/>
    <w:locked/>
    <w:uiPriority w:val="0"/>
    <w:rPr>
      <w:rFonts w:hint="eastAsia" w:ascii="宋体" w:hAnsi="Courier New" w:eastAsia="宋体"/>
      <w:kern w:val="2"/>
      <w:sz w:val="21"/>
      <w:lang w:val="en-US" w:eastAsia="zh-CN" w:bidi="ar-SA"/>
    </w:rPr>
  </w:style>
  <w:style w:type="paragraph" w:styleId="1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1364</Words>
  <Characters>7780</Characters>
  <Lines>64</Lines>
  <Paragraphs>18</Paragraphs>
  <TotalTime>2</TotalTime>
  <ScaleCrop>false</ScaleCrop>
  <LinksUpToDate>false</LinksUpToDate>
  <CharactersWithSpaces>9126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2020-08-09T06:20:05Z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